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09" w:rsidRPr="004829B7" w:rsidRDefault="004829B7">
      <w:pPr>
        <w:pStyle w:val="lfej"/>
        <w:rPr>
          <w:b/>
          <w:sz w:val="22"/>
          <w:szCs w:val="22"/>
          <w:u w:val="single"/>
        </w:rPr>
      </w:pPr>
      <w:bookmarkStart w:id="0" w:name="_GoBack"/>
      <w:bookmarkEnd w:id="0"/>
      <w:r w:rsidRPr="004829B7">
        <w:rPr>
          <w:b/>
          <w:sz w:val="22"/>
          <w:szCs w:val="22"/>
          <w:u w:val="single"/>
        </w:rPr>
        <w:t>KISKŐRÖS VÁROS POLGÁRMESTERE</w:t>
      </w:r>
    </w:p>
    <w:p w:rsidR="004829B7" w:rsidRDefault="004829B7">
      <w:pPr>
        <w:jc w:val="center"/>
        <w:rPr>
          <w:b/>
          <w:bCs/>
          <w:sz w:val="22"/>
          <w:szCs w:val="22"/>
          <w:u w:val="single"/>
        </w:rPr>
      </w:pPr>
    </w:p>
    <w:p w:rsidR="00841F09" w:rsidRDefault="00F96D74">
      <w:pPr>
        <w:jc w:val="center"/>
      </w:pPr>
      <w:r>
        <w:rPr>
          <w:b/>
          <w:bCs/>
          <w:sz w:val="22"/>
          <w:szCs w:val="22"/>
          <w:u w:val="single"/>
        </w:rPr>
        <w:t>ELŐTERJESZTÉS</w:t>
      </w:r>
    </w:p>
    <w:p w:rsidR="00841F09" w:rsidRDefault="004829B7">
      <w:pPr>
        <w:jc w:val="center"/>
      </w:pPr>
      <w:r>
        <w:rPr>
          <w:sz w:val="22"/>
          <w:szCs w:val="22"/>
        </w:rPr>
        <w:t xml:space="preserve">(a Képviselő-testület </w:t>
      </w:r>
      <w:r w:rsidR="00F96D74">
        <w:rPr>
          <w:sz w:val="22"/>
          <w:szCs w:val="22"/>
        </w:rPr>
        <w:t>2019. május 22-i ülésére)</w:t>
      </w:r>
    </w:p>
    <w:p w:rsidR="00841F09" w:rsidRDefault="00841F09">
      <w:pPr>
        <w:ind w:left="1410" w:hanging="1410"/>
        <w:jc w:val="both"/>
        <w:rPr>
          <w:b/>
          <w:bCs/>
          <w:sz w:val="22"/>
          <w:szCs w:val="22"/>
          <w:u w:val="single"/>
        </w:rPr>
      </w:pPr>
    </w:p>
    <w:p w:rsidR="00841F09" w:rsidRDefault="00F96D74" w:rsidP="004829B7">
      <w:pPr>
        <w:ind w:left="1410" w:hanging="1410"/>
        <w:jc w:val="both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TÁRGY: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Beszámoló a Kőröskom NONPROFIT Kft. 2018. évi tevékenységéről, alapítói hatáskörök gyakorlása a Kft-nél</w:t>
      </w:r>
    </w:p>
    <w:p w:rsidR="004829B7" w:rsidRPr="004829B7" w:rsidRDefault="004829B7" w:rsidP="004829B7">
      <w:pPr>
        <w:ind w:left="1410" w:hanging="1410"/>
        <w:jc w:val="both"/>
      </w:pPr>
    </w:p>
    <w:p w:rsidR="00841F09" w:rsidRDefault="00F96D74">
      <w:pPr>
        <w:jc w:val="both"/>
      </w:pPr>
      <w:r>
        <w:rPr>
          <w:sz w:val="22"/>
          <w:szCs w:val="22"/>
        </w:rPr>
        <w:t>A 100%-ban Kiskőrös Város Önkormányzata tulajdonát képező Kiskőrös Önkormányzat Kommunális Szolgáltató Nonprofit Korlátolt Felelősségű Társaság (a továbbiakban: KŐRÖSKOM Kft.) tulajdonosi jogait a Képviselő-testület gyakorolja. A Polgári Törvénykönyvről szóló 2013. évi V. törvény (továbbiakban Ptk.) 3:109. § (1) bekezdésben foglaltak szerint „A gazdasági társaság tagjainak döntéshozó szerve a legfőbb szerv.”   Ptk. 3:109. §   (4) Egyszemélyes társaságnál a legfőbb szerv hatáskörét az alapító vagy az egyedüli tag gyakorolja. A legfőbb szerv hatáskörébe tartozó kérdésekben az alapító vagy az egyedüli tag írásban határoz és a döntés az ügyvezetéssel való közléssel válik hatályossá.</w:t>
      </w:r>
    </w:p>
    <w:p w:rsidR="00841F09" w:rsidRDefault="00841F09">
      <w:pPr>
        <w:ind w:firstLine="204"/>
        <w:jc w:val="both"/>
        <w:rPr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 xml:space="preserve">Ptk. 3:109. §  (2) A gazdasági társaság legfőbb szervének feladata a társaság alapvető üzleti és személyi kérdéseiben való döntéshozatal. A legfőbb szerv hatáskörébe tartozik a számviteli törvény szerinti beszámoló (a továbbiakban: beszámoló) jóváhagyása és a nyereség felosztásáról való döntés.  </w:t>
      </w:r>
    </w:p>
    <w:p w:rsidR="00841F09" w:rsidRDefault="00841F09">
      <w:pPr>
        <w:jc w:val="both"/>
        <w:rPr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>A</w:t>
      </w:r>
      <w:r>
        <w:t xml:space="preserve"> </w:t>
      </w:r>
      <w:r>
        <w:rPr>
          <w:sz w:val="22"/>
          <w:szCs w:val="22"/>
        </w:rPr>
        <w:t xml:space="preserve">KŐRÖSKOM Kft. javadalmazási szabályzata értelmében, a Képviselő-testület dönt az ügyvezető személyi alapbérének tekintetében, lehetőség szerint az előző üzleti év beszámolójának tárgyalásakor dönt az ügyvezető prémiumáról, valamint az aktuális évre vonatkozó prémiumfeltételekről. A Képviselő-testület a 5/2019. sz. Képviselő-testületi határozatában foglaltak szerint az ügyvezető </w:t>
      </w:r>
      <w:r>
        <w:rPr>
          <w:sz w:val="22"/>
          <w:szCs w:val="22"/>
          <w:lang w:eastAsia="en-US"/>
        </w:rPr>
        <w:t>Schäffer Tamás András, személyi alapbére 2019. február 01. napjától bruttó 660 000 Ft.</w:t>
      </w:r>
    </w:p>
    <w:p w:rsidR="00841F09" w:rsidRDefault="00841F09">
      <w:pPr>
        <w:jc w:val="both"/>
        <w:rPr>
          <w:strike/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>A KŐRÖSKOM Kft. a számviteli törvény rendelkezései alapján összeállította a 2018. évi egyszerűsített éves beszámolóját, amely a határozat-tervezet 1. sz. mellékletét képezi. A határozat-tervezet 1. sz. melléklete tartalmazza a 2018. évi mérleget, eredménykimutatást, kiegészítő mellékletet és a Független Könyvvizsgálói Jelentést. Benyújtásra került a Kft. 2019. évre vonatkozó üzleti terve,</w:t>
      </w:r>
      <w:r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</w:rPr>
        <w:t xml:space="preserve">melyet a határozat- tervezet 2. sz. melléklete tartalmaz. A Felügyelő Bizottság a beszámolót és az üzleti tervet május 21-i ülésén tárgyalja. A Felügyelő Bizottság írásbeli jelentése az előterjesztés mellékletét képezi.  </w:t>
      </w:r>
    </w:p>
    <w:p w:rsidR="00841F09" w:rsidRDefault="00841F09">
      <w:pPr>
        <w:jc w:val="both"/>
        <w:rPr>
          <w:sz w:val="22"/>
          <w:szCs w:val="22"/>
        </w:rPr>
      </w:pPr>
    </w:p>
    <w:p w:rsidR="00841F09" w:rsidRDefault="00F96D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KŐRÖSKOM Kft. főbb mutatóinak idősoros alakulását az alábbi grafikon tartalmazza. </w:t>
      </w:r>
    </w:p>
    <w:p w:rsidR="004829B7" w:rsidRDefault="004829B7">
      <w:pPr>
        <w:jc w:val="both"/>
        <w:rPr>
          <w:sz w:val="22"/>
          <w:szCs w:val="22"/>
        </w:rPr>
      </w:pPr>
    </w:p>
    <w:p w:rsidR="004829B7" w:rsidRDefault="00F96D74" w:rsidP="004829B7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754370" cy="26860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1F09" w:rsidRDefault="00F96D74">
      <w:pPr>
        <w:pStyle w:val="Szvegtrzs"/>
      </w:pPr>
      <w:r>
        <w:rPr>
          <w:sz w:val="22"/>
          <w:szCs w:val="22"/>
        </w:rPr>
        <w:lastRenderedPageBreak/>
        <w:t>A beszámoló alapján a tárgyi eszközök bruttó értéke összesen 16 008 ezer Ft-tal növekedett (</w:t>
      </w:r>
      <w:r>
        <w:t>jelentősebb beruházások, felújítások: 1 db padkahenger 6.437 ezer Ft, 1 db használt Volskwagen Caddy 1.398 ezer Ft, a Cat markoló és a Zetor felújítása 3.176 ezer Ft, valamint az irodaépületben 3 db klíma került beszerelésre összesen 736 ezer Ft értékben, a befejezetlen beruházás értéke 3  866 ezer Ft)</w:t>
      </w:r>
      <w:r>
        <w:rPr>
          <w:sz w:val="22"/>
          <w:szCs w:val="22"/>
        </w:rPr>
        <w:t>, a könyv szerinti érték 5 428 ezer Ft-tal nőtt.</w:t>
      </w:r>
    </w:p>
    <w:p w:rsidR="00841F09" w:rsidRDefault="00841F09">
      <w:pPr>
        <w:jc w:val="both"/>
        <w:rPr>
          <w:sz w:val="22"/>
          <w:szCs w:val="22"/>
          <w:highlight w:val="yellow"/>
        </w:rPr>
      </w:pPr>
    </w:p>
    <w:p w:rsidR="00841F09" w:rsidRDefault="00F96D74">
      <w:pPr>
        <w:jc w:val="both"/>
      </w:pPr>
      <w:r>
        <w:rPr>
          <w:sz w:val="22"/>
          <w:szCs w:val="22"/>
        </w:rPr>
        <w:t xml:space="preserve">A forgóeszközökön belül növekedett  a követelések részaránya 2017. évhez képest, ez összegben 20 millió Ft-t jelent, 10 millió Ft-ról 30 millió Ft-ra nőtt. Ebből a hulladékszállítási díjjal kapcsolatos követelés (5,6 millió Ft)  teljes egészében lejárt követelés,. A hulladékszállítási díjhátralékosok esetében a </w:t>
      </w:r>
      <w:bookmarkStart w:id="1" w:name="__DdeLink__336_2416706744"/>
      <w:r>
        <w:rPr>
          <w:sz w:val="22"/>
          <w:szCs w:val="22"/>
        </w:rPr>
        <w:t>KŐRÖSKOM</w:t>
      </w:r>
      <w:bookmarkEnd w:id="1"/>
      <w:r>
        <w:rPr>
          <w:sz w:val="22"/>
          <w:szCs w:val="22"/>
        </w:rPr>
        <w:t xml:space="preserve"> Kft. az eredménytelen felszólításokat követően a díjhátralék adók módjára történő behajtását kezdeményezte Nemzeti Adó- és Vámhivatalnál. Ezek részben eredményre vezettek, azonban valószínűsíthető, hogy  a még fennálló díj tartozások gyakorlatilag behajthatatlanok, emiatt 100 % értékvesztés került elszámolásra.</w:t>
      </w:r>
    </w:p>
    <w:p w:rsidR="00841F09" w:rsidRDefault="00841F09">
      <w:pPr>
        <w:jc w:val="both"/>
        <w:rPr>
          <w:sz w:val="22"/>
          <w:szCs w:val="22"/>
          <w:highlight w:val="yellow"/>
        </w:rPr>
      </w:pPr>
    </w:p>
    <w:p w:rsidR="00841F09" w:rsidRDefault="00F96D74">
      <w:pPr>
        <w:jc w:val="both"/>
      </w:pPr>
      <w:r>
        <w:rPr>
          <w:sz w:val="22"/>
          <w:szCs w:val="22"/>
        </w:rPr>
        <w:t>Az értékpapírok és pénzeszközök állománya összességében jelentős növekedést mutat 2017. évvégi állapothoz képest, ez közel 70 millió Ft, de a növekedés a piacfelújításhoz kapcsolódó 140 millió Ft kiutalt támogatásnak köszönhető. A KŐRÖSKOM Kft pénzeszközeit elsősorban bankszámlán tartja.</w:t>
      </w:r>
    </w:p>
    <w:p w:rsidR="00841F09" w:rsidRDefault="00841F09">
      <w:pPr>
        <w:jc w:val="both"/>
        <w:rPr>
          <w:sz w:val="22"/>
          <w:szCs w:val="22"/>
          <w:highlight w:val="yellow"/>
        </w:rPr>
      </w:pPr>
    </w:p>
    <w:p w:rsidR="00841F09" w:rsidRDefault="00F96D74">
      <w:pPr>
        <w:jc w:val="both"/>
      </w:pPr>
      <w:r>
        <w:rPr>
          <w:sz w:val="22"/>
          <w:szCs w:val="22"/>
        </w:rPr>
        <w:t xml:space="preserve">A KŐRÖSKOM Kft az eredménytartalékból a tárgy év végén 9 000 ezer Ft fejlesztési tartalékot képzett, mely átvezetésre került a lekötött tartalékba (a 2018. évben fel nem használt mellé). </w:t>
      </w:r>
    </w:p>
    <w:p w:rsidR="00841F09" w:rsidRDefault="00841F09">
      <w:pPr>
        <w:jc w:val="both"/>
        <w:rPr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>Az értékesítés nettó árbevétele az előző évi szinthez képest közel 8 %-kal nőtt, amely összegszerűen 19 millió Ft-t jelent ( a változást a fakitermelés, aprítékolás,növekedése és a településüzemeltetési munkák csökkenéséből keletkezett), az 1 főre jutó üzemi tevékenység eredménye a 2017. évihez képest csökkent, amely így is jó teljesítésnek minősül. A KŐRÖSKOM Kft. üzemi tevékenység  eredménye a 2017. évi 84 %-a, az adózott eredmény a 85 %. A változást az anyagjellegű és a személyi jellegű ráfordítások növekedése okozta.</w:t>
      </w:r>
    </w:p>
    <w:p w:rsidR="00841F09" w:rsidRDefault="00841F09">
      <w:pPr>
        <w:jc w:val="both"/>
        <w:rPr>
          <w:sz w:val="22"/>
          <w:szCs w:val="22"/>
          <w:highlight w:val="yellow"/>
        </w:rPr>
      </w:pPr>
    </w:p>
    <w:p w:rsidR="00841F09" w:rsidRDefault="00F96D74">
      <w:pPr>
        <w:jc w:val="both"/>
      </w:pPr>
      <w:r>
        <w:rPr>
          <w:sz w:val="22"/>
          <w:szCs w:val="22"/>
        </w:rPr>
        <w:t>A KŐRÖSKOM Kft. 2018. évi adózás előtti eredménye 19 127 ezer Ft, ebből üzemi tevékenység eredménye 18 196 ezer Ft, pénzügyi műveletek eredménye 931 ezer Ft. Az adózott eredmény és a mérleg szerinti eredmény 17 511 ezer Ft.</w:t>
      </w:r>
    </w:p>
    <w:p w:rsidR="00841F09" w:rsidRDefault="00841F09">
      <w:pPr>
        <w:jc w:val="both"/>
        <w:rPr>
          <w:sz w:val="22"/>
          <w:szCs w:val="22"/>
          <w:highlight w:val="yellow"/>
        </w:rPr>
      </w:pPr>
    </w:p>
    <w:p w:rsidR="00841F09" w:rsidRDefault="00F96D74">
      <w:pPr>
        <w:jc w:val="both"/>
      </w:pPr>
      <w:r>
        <w:rPr>
          <w:sz w:val="22"/>
          <w:szCs w:val="22"/>
        </w:rPr>
        <w:t>A prémiumfeltételekben meghatározott 2018. évi célkitűzéseket a KŐRÖSKOM Kft. ügyvezetője teljesítette: a KŐRÖSKOM Kft. eredményes működésének feltételeit biztosította, a 2018. évi üzleti terv szerinti – 12 300 ezer Ft - eredmény teljesült, az Önkormányzattal szerződött feladatok - beruházás, felújítás, fenntartás, egyéb szolgáltatások- a követelmények szerint teljesültek, a Kőrösszolg Kft, hatékony, gazdaságos és eredményes működést támogatja, biztosítja.</w:t>
      </w:r>
    </w:p>
    <w:p w:rsidR="00841F09" w:rsidRDefault="00841F09">
      <w:pPr>
        <w:rPr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>A fentiek alapján javaslom, hogy a Képviselő-testület a KŐRÖSKOM Kft. 2018. évi egyszerűsített éves beszámolóját, a KŐRÖSKOM Kft. ügyvezetőjének 2018. évi prémiumának megállapítását, valamint a 2019. évi prémiumfeltételeit a határozat-tervezetben foglaltak szerint fogadja el.</w:t>
      </w:r>
    </w:p>
    <w:p w:rsidR="00841F09" w:rsidRDefault="00841F09" w:rsidP="004829B7">
      <w:pPr>
        <w:jc w:val="both"/>
        <w:rPr>
          <w:b/>
          <w:bCs/>
          <w:sz w:val="22"/>
          <w:szCs w:val="22"/>
        </w:rPr>
      </w:pPr>
    </w:p>
    <w:p w:rsidR="004829B7" w:rsidRDefault="004829B7" w:rsidP="004829B7">
      <w:pPr>
        <w:jc w:val="both"/>
        <w:rPr>
          <w:b/>
          <w:bCs/>
          <w:sz w:val="22"/>
          <w:szCs w:val="22"/>
        </w:rPr>
      </w:pPr>
    </w:p>
    <w:p w:rsidR="00841F09" w:rsidRDefault="004829B7">
      <w:pPr>
        <w:ind w:left="540" w:hanging="540"/>
        <w:jc w:val="both"/>
      </w:pPr>
      <w:r>
        <w:rPr>
          <w:b/>
          <w:bCs/>
          <w:sz w:val="22"/>
          <w:szCs w:val="22"/>
        </w:rPr>
        <w:t>Kiskőrös, 2019. május 20</w:t>
      </w:r>
      <w:r w:rsidR="00F96D74">
        <w:rPr>
          <w:b/>
          <w:bCs/>
          <w:sz w:val="22"/>
          <w:szCs w:val="22"/>
        </w:rPr>
        <w:t>.</w:t>
      </w:r>
    </w:p>
    <w:p w:rsidR="00841F09" w:rsidRDefault="00F96D74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41F09" w:rsidRDefault="00841F09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841F09" w:rsidRDefault="00F96D74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4829B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Domonyi László sk.</w:t>
      </w:r>
    </w:p>
    <w:p w:rsidR="00841F09" w:rsidRDefault="00F96D74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4829B7">
        <w:rPr>
          <w:b/>
          <w:bCs/>
          <w:sz w:val="22"/>
          <w:szCs w:val="22"/>
        </w:rPr>
        <w:t xml:space="preserve">          </w:t>
      </w:r>
      <w:r>
        <w:rPr>
          <w:b/>
          <w:bCs/>
          <w:sz w:val="22"/>
          <w:szCs w:val="22"/>
        </w:rPr>
        <w:t xml:space="preserve"> polgármester</w:t>
      </w:r>
    </w:p>
    <w:p w:rsidR="00841F09" w:rsidRDefault="00841F09">
      <w:pPr>
        <w:rPr>
          <w:sz w:val="22"/>
          <w:szCs w:val="22"/>
        </w:rPr>
      </w:pPr>
    </w:p>
    <w:p w:rsidR="00841F09" w:rsidRDefault="00841F09">
      <w:pPr>
        <w:rPr>
          <w:sz w:val="22"/>
          <w:szCs w:val="22"/>
        </w:rPr>
      </w:pP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4829B7" w:rsidRDefault="004829B7">
      <w:pPr>
        <w:jc w:val="center"/>
        <w:rPr>
          <w:b/>
          <w:bCs/>
          <w:sz w:val="22"/>
          <w:szCs w:val="22"/>
        </w:rPr>
      </w:pPr>
    </w:p>
    <w:p w:rsidR="004829B7" w:rsidRDefault="004829B7">
      <w:pPr>
        <w:jc w:val="center"/>
        <w:rPr>
          <w:b/>
          <w:bCs/>
          <w:sz w:val="22"/>
          <w:szCs w:val="22"/>
        </w:rPr>
      </w:pPr>
    </w:p>
    <w:p w:rsidR="00841F09" w:rsidRDefault="00F96D74">
      <w:pPr>
        <w:jc w:val="center"/>
      </w:pPr>
      <w:r>
        <w:rPr>
          <w:b/>
          <w:bCs/>
          <w:sz w:val="22"/>
          <w:szCs w:val="22"/>
        </w:rPr>
        <w:lastRenderedPageBreak/>
        <w:t>HATÁROZAT-TERVEZET</w:t>
      </w: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841F09" w:rsidRDefault="00F96D74">
      <w:pPr>
        <w:jc w:val="both"/>
      </w:pPr>
      <w:r>
        <w:rPr>
          <w:sz w:val="22"/>
          <w:szCs w:val="22"/>
        </w:rPr>
        <w:t xml:space="preserve">A Képviselő-testület az önkormányzat kizárólagos tulajdonában lévő KŐRÖSKOM </w:t>
      </w:r>
      <w:bookmarkStart w:id="2" w:name="__DdeLink__75_2913284232"/>
      <w:r>
        <w:rPr>
          <w:sz w:val="22"/>
          <w:szCs w:val="22"/>
        </w:rPr>
        <w:t>Nonprofit</w:t>
      </w:r>
      <w:bookmarkEnd w:id="2"/>
      <w:r>
        <w:rPr>
          <w:sz w:val="22"/>
          <w:szCs w:val="22"/>
        </w:rPr>
        <w:t xml:space="preserve"> Kft. tulajdonosi jogait gyakorló hatáskörében:</w:t>
      </w:r>
    </w:p>
    <w:p w:rsidR="00841F09" w:rsidRDefault="00841F09">
      <w:pPr>
        <w:jc w:val="both"/>
        <w:rPr>
          <w:sz w:val="22"/>
          <w:szCs w:val="22"/>
        </w:rPr>
      </w:pPr>
    </w:p>
    <w:p w:rsidR="00841F09" w:rsidRDefault="00F96D7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a KŐRÖSKOM Nonprofit Kft. 2018. üzleti évre vonatkozó egyszerűsített éves beszámolóját (mérlegét, eredménykimutatását és kiegészítő mellékletét) - figyelemmel a Felügyelő Bizottság és a Könyvvizsgáló jelentésére is- a határozat-tervezet 1. sz. melléklete szerinti tartalommal jóváhagyja </w:t>
      </w:r>
    </w:p>
    <w:p w:rsidR="00841F09" w:rsidRDefault="00841F09">
      <w:pPr>
        <w:ind w:left="720"/>
        <w:jc w:val="both"/>
        <w:rPr>
          <w:sz w:val="22"/>
          <w:szCs w:val="22"/>
        </w:rPr>
      </w:pPr>
    </w:p>
    <w:p w:rsidR="00841F09" w:rsidRDefault="00F96D74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Nonprofit Kft. ügyvezetőjének a 2019. évre benyújtott üzleti tervét a határozat-tervezet 2. sz. melléklete szerinti tartalommal elfogadja</w:t>
      </w:r>
    </w:p>
    <w:p w:rsidR="00841F09" w:rsidRDefault="00841F09">
      <w:pPr>
        <w:ind w:left="360"/>
        <w:jc w:val="both"/>
        <w:rPr>
          <w:sz w:val="22"/>
          <w:szCs w:val="22"/>
        </w:rPr>
      </w:pPr>
    </w:p>
    <w:p w:rsidR="00841F09" w:rsidRDefault="00F96D74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Nonprofit Kft. ügyvezetőjének 2018. évi prémiumát az 67/2018.sz. képviselő-testületi határozatban meghatározott feltételek teljesítésének megfelelően a 2018. évi személyi alapbér 25 %-ában, azaz bruttó 1 800 000 Ft-ban állapítja meg.</w:t>
      </w:r>
    </w:p>
    <w:p w:rsidR="00841F09" w:rsidRDefault="00841F09">
      <w:pPr>
        <w:ind w:left="720"/>
        <w:jc w:val="both"/>
        <w:rPr>
          <w:sz w:val="22"/>
          <w:szCs w:val="22"/>
        </w:rPr>
      </w:pPr>
    </w:p>
    <w:p w:rsidR="00841F09" w:rsidRDefault="00F96D74">
      <w:pPr>
        <w:numPr>
          <w:ilvl w:val="0"/>
          <w:numId w:val="1"/>
        </w:numPr>
        <w:jc w:val="both"/>
      </w:pPr>
      <w:r>
        <w:rPr>
          <w:sz w:val="22"/>
          <w:szCs w:val="22"/>
        </w:rPr>
        <w:t>a KŐRÖSKOM Nonprofit Kft. ügyvezetőjének 2019. évi prémiumfeltételeit és a feltételek teljesítése esetére a prémium éves személyi alapbérben kifejezett százalékos mértékét a határozat-tervezet 3. sz. mellékletében foglaltak szerint határozza meg.</w:t>
      </w:r>
    </w:p>
    <w:p w:rsidR="00841F09" w:rsidRDefault="00841F09">
      <w:pPr>
        <w:ind w:left="720"/>
        <w:jc w:val="both"/>
        <w:rPr>
          <w:sz w:val="24"/>
          <w:szCs w:val="24"/>
        </w:rPr>
      </w:pPr>
    </w:p>
    <w:p w:rsidR="00841F09" w:rsidRDefault="00841F09">
      <w:pPr>
        <w:jc w:val="both"/>
        <w:rPr>
          <w:sz w:val="22"/>
          <w:szCs w:val="22"/>
        </w:rPr>
      </w:pPr>
    </w:p>
    <w:p w:rsidR="00841F09" w:rsidRDefault="00F96D74"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841F09" w:rsidRDefault="00F96D74"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ügyvezető </w:t>
      </w:r>
    </w:p>
    <w:p w:rsidR="00841F09" w:rsidRDefault="00F96D74">
      <w:r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ab/>
      </w:r>
      <w:r w:rsidRPr="004829B7">
        <w:rPr>
          <w:bCs/>
          <w:sz w:val="22"/>
          <w:szCs w:val="22"/>
        </w:rPr>
        <w:t>2019. értelemszerűen</w:t>
      </w: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841F09" w:rsidRDefault="00841F09">
      <w:pPr>
        <w:jc w:val="center"/>
        <w:rPr>
          <w:b/>
          <w:bCs/>
          <w:sz w:val="22"/>
          <w:szCs w:val="22"/>
        </w:rPr>
      </w:pPr>
    </w:p>
    <w:p w:rsidR="00841F09" w:rsidRDefault="00841F09">
      <w:pPr>
        <w:jc w:val="center"/>
      </w:pPr>
    </w:p>
    <w:sectPr w:rsidR="00841F09">
      <w:footerReference w:type="default" r:id="rId8"/>
      <w:pgSz w:w="11906" w:h="16838"/>
      <w:pgMar w:top="1418" w:right="1418" w:bottom="1418" w:left="1418" w:header="0" w:footer="1151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51" w:rsidRDefault="00F70B51">
      <w:r>
        <w:separator/>
      </w:r>
    </w:p>
  </w:endnote>
  <w:endnote w:type="continuationSeparator" w:id="0">
    <w:p w:rsidR="00F70B51" w:rsidRDefault="00F7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09" w:rsidRDefault="00F96D74">
    <w:pPr>
      <w:pStyle w:val="llb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0485" cy="146050"/>
              <wp:effectExtent l="0" t="0" r="0" b="0"/>
              <wp:wrapSquare wrapText="largest"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4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F09" w:rsidRDefault="00F96D74"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719C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Keret1" o:spid="_x0000_s1026" style="position:absolute;margin-left:0;margin-top:.05pt;width:5.55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" filled="f" stroked="f">
              <v:textbox style="mso-fit-shape-to-text:t" inset="0,0,0,0">
                <w:txbxContent>
                  <w:p w:rsidR="00841F09" w:rsidRDefault="00F96D74"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719C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51" w:rsidRDefault="00F70B51">
      <w:r>
        <w:separator/>
      </w:r>
    </w:p>
  </w:footnote>
  <w:footnote w:type="continuationSeparator" w:id="0">
    <w:p w:rsidR="00F70B51" w:rsidRDefault="00F7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10E5"/>
    <w:multiLevelType w:val="multilevel"/>
    <w:tmpl w:val="85BA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56B3"/>
    <w:multiLevelType w:val="multilevel"/>
    <w:tmpl w:val="BD6A3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09"/>
    <w:rsid w:val="004829B7"/>
    <w:rsid w:val="00841F09"/>
    <w:rsid w:val="00C719C0"/>
    <w:rsid w:val="00DC41C7"/>
    <w:rsid w:val="00F70B51"/>
    <w:rsid w:val="00F9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FC09-75D2-4D02-A24A-ED17DA75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AC8"/>
    <w:rPr>
      <w:color w:val="00000A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B5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qFormat/>
    <w:locked/>
    <w:rsid w:val="00A957C0"/>
    <w:rPr>
      <w:rFonts w:ascii="Cambria" w:hAnsi="Cambria" w:cs="Cambria"/>
      <w:b/>
      <w:bCs/>
      <w:kern w:val="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qFormat/>
    <w:locked/>
    <w:rsid w:val="009B35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qFormat/>
    <w:locked/>
    <w:rsid w:val="00D23204"/>
    <w:rPr>
      <w:rFonts w:ascii="Cambria" w:hAnsi="Cambria" w:cs="Cambria"/>
      <w:b/>
      <w:bCs/>
      <w:sz w:val="26"/>
      <w:szCs w:val="26"/>
    </w:rPr>
  </w:style>
  <w:style w:type="character" w:customStyle="1" w:styleId="llbChar">
    <w:name w:val="Élőláb Char"/>
    <w:basedOn w:val="Bekezdsalapbettpusa"/>
    <w:link w:val="llb"/>
    <w:uiPriority w:val="99"/>
    <w:semiHidden/>
    <w:qFormat/>
    <w:locked/>
    <w:rsid w:val="00A957C0"/>
  </w:style>
  <w:style w:type="character" w:styleId="Oldalszm">
    <w:name w:val="page number"/>
    <w:basedOn w:val="Bekezdsalapbettpusa"/>
    <w:uiPriority w:val="99"/>
    <w:qFormat/>
    <w:rsid w:val="001C5AC8"/>
  </w:style>
  <w:style w:type="character" w:customStyle="1" w:styleId="lfejChar">
    <w:name w:val="Élőfej Char"/>
    <w:basedOn w:val="Bekezdsalapbettpusa"/>
    <w:link w:val="lfej"/>
    <w:uiPriority w:val="99"/>
    <w:qFormat/>
    <w:locked/>
    <w:rsid w:val="00B26FAD"/>
    <w:rPr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sid w:val="00A957C0"/>
    <w:rPr>
      <w:sz w:val="2"/>
      <w:szCs w:val="2"/>
    </w:rPr>
  </w:style>
  <w:style w:type="character" w:customStyle="1" w:styleId="BodyTextChar">
    <w:name w:val="Body Text Char"/>
    <w:basedOn w:val="Bekezdsalapbettpusa"/>
    <w:uiPriority w:val="99"/>
    <w:semiHidden/>
    <w:qFormat/>
    <w:locked/>
    <w:rsid w:val="00E41FDE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qFormat/>
    <w:locked/>
    <w:rsid w:val="009B3527"/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qFormat/>
    <w:locked/>
    <w:rsid w:val="00D23204"/>
    <w:rPr>
      <w:sz w:val="20"/>
      <w:szCs w:val="20"/>
    </w:rPr>
  </w:style>
  <w:style w:type="character" w:customStyle="1" w:styleId="CharChar7">
    <w:name w:val="Char Char7"/>
    <w:uiPriority w:val="99"/>
    <w:qFormat/>
    <w:locked/>
    <w:rsid w:val="00E73523"/>
    <w:rPr>
      <w:rFonts w:ascii="Cambria" w:hAnsi="Cambria" w:cs="Cambria"/>
      <w:b/>
      <w:bCs/>
      <w:kern w:val="2"/>
      <w:sz w:val="32"/>
      <w:szCs w:val="32"/>
    </w:rPr>
  </w:style>
  <w:style w:type="character" w:customStyle="1" w:styleId="CharChar1">
    <w:name w:val="Char Char1"/>
    <w:uiPriority w:val="99"/>
    <w:semiHidden/>
    <w:qFormat/>
    <w:locked/>
    <w:rsid w:val="00E73523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uiPriority w:val="99"/>
    <w:qFormat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qFormat/>
    <w:rsid w:val="001C5AC8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"/>
    <w:uiPriority w:val="99"/>
    <w:qFormat/>
    <w:rsid w:val="003659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zvegtrzsbehzssal">
    <w:name w:val="Body Text Indent"/>
    <w:basedOn w:val="Norml"/>
    <w:link w:val="SzvegtrzsbehzssalChar"/>
    <w:uiPriority w:val="99"/>
    <w:rsid w:val="00B57925"/>
    <w:pPr>
      <w:spacing w:after="120"/>
      <w:ind w:left="283"/>
    </w:pPr>
  </w:style>
  <w:style w:type="paragraph" w:customStyle="1" w:styleId="Nincstrkz1">
    <w:name w:val="Nincs térköz1"/>
    <w:basedOn w:val="Norml"/>
    <w:uiPriority w:val="99"/>
    <w:qFormat/>
    <w:rsid w:val="00B57925"/>
    <w:rPr>
      <w:sz w:val="24"/>
      <w:szCs w:val="24"/>
      <w:lang w:eastAsia="en-US"/>
    </w:rPr>
  </w:style>
  <w:style w:type="paragraph" w:customStyle="1" w:styleId="Kerettartalom">
    <w:name w:val="Kerettartalom"/>
    <w:basedOn w:val="Norm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hu-H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Saját tőke (ezerFt)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155372</c:v>
                </c:pt>
                <c:pt idx="1">
                  <c:v>131846</c:v>
                </c:pt>
                <c:pt idx="2">
                  <c:v>145956</c:v>
                </c:pt>
                <c:pt idx="3">
                  <c:v>159240</c:v>
                </c:pt>
                <c:pt idx="4">
                  <c:v>179773</c:v>
                </c:pt>
                <c:pt idx="5">
                  <c:v>147283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0E-4E7B-A750-46FD1A25F5D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Értékesítés nettó árbevétele (ezerFt)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6"/>
                <c:pt idx="0">
                  <c:v>273831</c:v>
                </c:pt>
                <c:pt idx="1">
                  <c:v>313509</c:v>
                </c:pt>
                <c:pt idx="2">
                  <c:v>219611</c:v>
                </c:pt>
                <c:pt idx="3">
                  <c:v>266739</c:v>
                </c:pt>
                <c:pt idx="4">
                  <c:v>242502</c:v>
                </c:pt>
                <c:pt idx="5">
                  <c:v>261222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0E-4E7B-A750-46FD1A25F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994200"/>
        <c:axId val="280993808"/>
      </c:barChart>
      <c:lineChart>
        <c:grouping val="standard"/>
        <c:varyColors val="0"/>
        <c:ser>
          <c:idx val="2"/>
          <c:order val="2"/>
          <c:tx>
            <c:strRef>
              <c:f>label 2</c:f>
              <c:strCache>
                <c:ptCount val="1"/>
                <c:pt idx="0">
                  <c:v>Foglalkoztatottak létszáma (fő)</c:v>
                </c:pt>
              </c:strCache>
            </c:strRef>
          </c:tx>
          <c:spPr>
            <a:ln w="25200">
              <a:solidFill>
                <a:srgbClr val="99CC00"/>
              </a:solidFill>
              <a:round/>
            </a:ln>
          </c:spPr>
          <c:marker>
            <c:symbol val="triangle"/>
            <c:size val="6"/>
            <c:spPr>
              <a:solidFill>
                <a:srgbClr val="99CC0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dLblPos val="r"/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6"/>
                <c:pt idx="0">
                  <c:v>30</c:v>
                </c:pt>
                <c:pt idx="1">
                  <c:v>31</c:v>
                </c:pt>
                <c:pt idx="2">
                  <c:v>31</c:v>
                </c:pt>
                <c:pt idx="3">
                  <c:v>31</c:v>
                </c:pt>
                <c:pt idx="4">
                  <c:v>31</c:v>
                </c:pt>
                <c:pt idx="5">
                  <c:v>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0E-4E7B-A750-46FD1A25F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280994592"/>
        <c:axId val="280993416"/>
      </c:lineChart>
      <c:catAx>
        <c:axId val="280994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280993808"/>
        <c:crosses val="autoZero"/>
        <c:auto val="1"/>
        <c:lblAlgn val="ctr"/>
        <c:lblOffset val="100"/>
        <c:noMultiLvlLbl val="1"/>
      </c:catAx>
      <c:valAx>
        <c:axId val="280993808"/>
        <c:scaling>
          <c:orientation val="minMax"/>
        </c:scaling>
        <c:delete val="0"/>
        <c:axPos val="l"/>
        <c:majorGridlines>
          <c:spPr>
            <a:ln w="9360">
              <a:solidFill>
                <a:srgbClr val="808080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1" strike="noStrike" spc="-1">
                    <a:solidFill>
                      <a:srgbClr val="000000"/>
                    </a:solidFill>
                    <a:latin typeface="Calibri"/>
                  </a:rPr>
                  <a:t>ezer forint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280994200"/>
        <c:crossesAt val="1"/>
        <c:crossBetween val="between"/>
      </c:valAx>
      <c:catAx>
        <c:axId val="280994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0993416"/>
        <c:crosses val="autoZero"/>
        <c:auto val="1"/>
        <c:lblAlgn val="ctr"/>
        <c:lblOffset val="100"/>
        <c:noMultiLvlLbl val="1"/>
      </c:catAx>
      <c:valAx>
        <c:axId val="280993416"/>
        <c:scaling>
          <c:orientation val="minMax"/>
        </c:scaling>
        <c:delete val="0"/>
        <c:axPos val="r"/>
        <c:title>
          <c:tx>
            <c:rich>
              <a:bodyPr rot="-5400000"/>
              <a:lstStyle/>
              <a:p>
                <a:pPr>
                  <a:defRPr sz="1000" b="1" strike="noStrike" spc="-1">
                    <a:solidFill>
                      <a:srgbClr val="000000"/>
                    </a:solidFill>
                    <a:latin typeface="Calibri"/>
                  </a:defRPr>
                </a:pPr>
                <a:r>
                  <a:rPr lang="hu-HU" sz="1000" b="1" strike="noStrike" spc="-1">
                    <a:solidFill>
                      <a:srgbClr val="000000"/>
                    </a:solidFill>
                    <a:latin typeface="Calibri"/>
                  </a:rPr>
                  <a:t>Létszám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spPr>
          <a:ln w="9360">
            <a:solidFill>
              <a:srgbClr val="808080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hu-HU"/>
          </a:p>
        </c:txPr>
        <c:crossAx val="280994592"/>
        <c:crosses val="max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5931249999999997"/>
          <c:y val="0.39200000000000002"/>
        </c:manualLayout>
      </c:layout>
      <c:overlay val="0"/>
      <c:spPr>
        <a:noFill/>
        <a:ln>
          <a:noFill/>
        </a:ln>
      </c:spPr>
    </c:legend>
    <c:plotVisOnly val="1"/>
    <c:dispBlanksAs val="gap"/>
    <c:showDLblsOverMax val="1"/>
  </c:chart>
  <c:spPr>
    <a:solidFill>
      <a:srgbClr val="FFFFFF"/>
    </a:solidFill>
    <a:ln>
      <a:solidFill>
        <a:srgbClr val="808080"/>
      </a:solidFill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subject/>
  <dc:creator>Polgármesteri Hivatal</dc:creator>
  <dc:description/>
  <cp:lastModifiedBy>Péter Gárdonyi</cp:lastModifiedBy>
  <cp:revision>2</cp:revision>
  <cp:lastPrinted>2019-05-20T10:47:00Z</cp:lastPrinted>
  <dcterms:created xsi:type="dcterms:W3CDTF">2019-05-20T12:46:00Z</dcterms:created>
  <dcterms:modified xsi:type="dcterms:W3CDTF">2019-05-20T12:46:00Z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Kiskőrös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