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F4" w:rsidRDefault="00702BFD" w:rsidP="004A4DF4">
      <w:pPr>
        <w:widowControl w:val="0"/>
        <w:tabs>
          <w:tab w:val="left" w:pos="284"/>
        </w:tabs>
        <w:spacing w:after="60"/>
        <w:jc w:val="both"/>
        <w:rPr>
          <w:i/>
          <w:sz w:val="22"/>
          <w:szCs w:val="22"/>
        </w:rPr>
      </w:pPr>
      <w:r w:rsidRPr="00702BFD">
        <w:rPr>
          <w:i/>
          <w:sz w:val="22"/>
          <w:szCs w:val="22"/>
        </w:rPr>
        <w:t>7. függelék</w:t>
      </w:r>
    </w:p>
    <w:p w:rsidR="001E6670" w:rsidRPr="00702BFD" w:rsidRDefault="001E6670" w:rsidP="004A4DF4">
      <w:pPr>
        <w:widowControl w:val="0"/>
        <w:tabs>
          <w:tab w:val="left" w:pos="284"/>
        </w:tabs>
        <w:spacing w:after="60"/>
        <w:jc w:val="both"/>
        <w:rPr>
          <w:rFonts w:ascii="Corbel" w:eastAsia="Calibri" w:hAnsi="Corbel" w:cs="Calibri"/>
          <w:b/>
          <w:kern w:val="24"/>
          <w:sz w:val="22"/>
          <w:szCs w:val="22"/>
        </w:rPr>
      </w:pPr>
      <w:bookmarkStart w:id="0" w:name="_GoBack"/>
      <w:bookmarkEnd w:id="0"/>
    </w:p>
    <w:p w:rsidR="004A4DF4" w:rsidRPr="00926A37" w:rsidRDefault="004A4DF4" w:rsidP="004A4DF4">
      <w:pPr>
        <w:widowControl w:val="0"/>
        <w:tabs>
          <w:tab w:val="left" w:pos="284"/>
        </w:tabs>
        <w:spacing w:after="60"/>
        <w:jc w:val="both"/>
        <w:rPr>
          <w:rFonts w:ascii="Corbel" w:eastAsia="Calibri" w:hAnsi="Corbel" w:cs="Calibri"/>
          <w:b/>
          <w:kern w:val="24"/>
          <w:sz w:val="22"/>
          <w:szCs w:val="22"/>
        </w:rPr>
      </w:pPr>
      <w:r w:rsidRPr="00926A37">
        <w:rPr>
          <w:rFonts w:ascii="Corbel" w:eastAsia="Calibri" w:hAnsi="Corbel" w:cs="Calibri"/>
          <w:b/>
          <w:kern w:val="24"/>
          <w:sz w:val="22"/>
          <w:szCs w:val="22"/>
        </w:rPr>
        <w:t>Mezővárosias jellegű kisvárosias lakóterületen alkalmazható RAL skála szerint színek</w:t>
      </w:r>
    </w:p>
    <w:p w:rsidR="004A4DF4" w:rsidRPr="00926A37" w:rsidRDefault="004A4DF4" w:rsidP="004A4DF4">
      <w:pPr>
        <w:widowControl w:val="0"/>
        <w:tabs>
          <w:tab w:val="left" w:pos="284"/>
        </w:tabs>
        <w:spacing w:after="60"/>
        <w:jc w:val="both"/>
        <w:rPr>
          <w:rFonts w:ascii="Corbel" w:eastAsia="Calibri" w:hAnsi="Corbel" w:cs="Calibri"/>
          <w:b/>
          <w:kern w:val="24"/>
          <w:sz w:val="22"/>
          <w:szCs w:val="22"/>
        </w:rPr>
      </w:pPr>
    </w:p>
    <w:p w:rsidR="004A4DF4" w:rsidRPr="00926A37" w:rsidRDefault="004A4DF4" w:rsidP="004A4DF4">
      <w:pPr>
        <w:spacing w:after="200" w:line="276" w:lineRule="auto"/>
        <w:jc w:val="both"/>
        <w:rPr>
          <w:rFonts w:ascii="Corbel" w:eastAsia="Calibri" w:hAnsi="Corbel" w:cs="Arial"/>
          <w:b/>
          <w:bCs/>
          <w:i/>
          <w:iCs/>
          <w:sz w:val="22"/>
          <w:szCs w:val="22"/>
          <w:lang w:eastAsia="en-US"/>
        </w:rPr>
      </w:pPr>
      <w:r w:rsidRPr="00926A37">
        <w:rPr>
          <w:rFonts w:ascii="Corbel" w:eastAsia="Calibri" w:hAnsi="Corbel" w:cs="Arial"/>
          <w:b/>
          <w:bCs/>
          <w:i/>
          <w:iCs/>
          <w:sz w:val="22"/>
          <w:szCs w:val="22"/>
          <w:lang w:eastAsia="en-US"/>
        </w:rPr>
        <w:t>Mezővárosias jellegű kisvárosias lakóterületen utcai és az oldalkertre néző homlokzatok vakolásához és a lábazat továbbá a falusias lakóterületek lábazatainak színezéséhez használható RAL skála szerinti színek:</w:t>
      </w:r>
    </w:p>
    <w:p w:rsidR="004A4DF4" w:rsidRPr="00926A37" w:rsidRDefault="004A4DF4" w:rsidP="004A4DF4">
      <w:pPr>
        <w:spacing w:after="200" w:line="276" w:lineRule="auto"/>
        <w:jc w:val="both"/>
        <w:rPr>
          <w:rFonts w:ascii="Corbel" w:eastAsia="Calibri" w:hAnsi="Corbel" w:cs="Arial"/>
          <w:sz w:val="22"/>
          <w:szCs w:val="22"/>
          <w:lang w:eastAsia="en-US"/>
        </w:rPr>
      </w:pPr>
      <w:r w:rsidRPr="00926A37">
        <w:rPr>
          <w:rFonts w:ascii="Corbel" w:eastAsia="Calibri" w:hAnsi="Corbel" w:cs="Arial"/>
          <w:sz w:val="22"/>
          <w:szCs w:val="22"/>
          <w:lang w:eastAsia="en-US"/>
        </w:rPr>
        <w:t>RAL 1000-1002, 1011-1013, 1018-1019, 1027, 1032, 2001-2002, 2004, 3000-3004, 3011, 3016, 4002, 6002-6003, 6005, 6010-6011, 6021, 6025, 7035, 9001, 9010, 3001, 9003, 9016.</w:t>
      </w:r>
    </w:p>
    <w:p w:rsidR="004A4DF4" w:rsidRPr="00926A37" w:rsidRDefault="004A4DF4" w:rsidP="004A4DF4">
      <w:pPr>
        <w:spacing w:after="200" w:line="276" w:lineRule="auto"/>
        <w:jc w:val="both"/>
        <w:rPr>
          <w:rFonts w:ascii="Corbel" w:eastAsia="Calibri" w:hAnsi="Corbel" w:cs="Arial"/>
          <w:b/>
          <w:bCs/>
          <w:i/>
          <w:iCs/>
          <w:sz w:val="22"/>
          <w:szCs w:val="22"/>
          <w:lang w:eastAsia="en-US"/>
        </w:rPr>
      </w:pPr>
      <w:r w:rsidRPr="00926A37">
        <w:rPr>
          <w:rFonts w:ascii="Corbel" w:eastAsia="Calibri" w:hAnsi="Corbel" w:cs="Arial"/>
          <w:b/>
          <w:bCs/>
          <w:i/>
          <w:iCs/>
          <w:sz w:val="22"/>
          <w:szCs w:val="22"/>
          <w:lang w:eastAsia="en-US"/>
        </w:rPr>
        <w:t>Mezővárosias jellegű kisvárosias lakóterületen utcai és oldalhomlokzatok faszerkezeteinek, továbbá a falusias lakóterületeken minden kültéri faszerkezetének színezéséhez használható RAL skála szerinti színek:</w:t>
      </w:r>
    </w:p>
    <w:p w:rsidR="004A4DF4" w:rsidRPr="00926A37" w:rsidRDefault="004A4DF4" w:rsidP="004A4DF4">
      <w:pPr>
        <w:spacing w:after="200" w:line="276" w:lineRule="auto"/>
        <w:ind w:left="284" w:hanging="285"/>
        <w:jc w:val="both"/>
        <w:rPr>
          <w:rFonts w:ascii="Corbel" w:eastAsia="Calibri" w:hAnsi="Corbel" w:cs="Arial"/>
          <w:sz w:val="22"/>
          <w:szCs w:val="22"/>
          <w:lang w:eastAsia="en-US"/>
        </w:rPr>
      </w:pPr>
      <w:r w:rsidRPr="00926A37">
        <w:rPr>
          <w:rFonts w:ascii="Corbel" w:eastAsia="Calibri" w:hAnsi="Corbel" w:cs="Arial"/>
          <w:sz w:val="22"/>
          <w:szCs w:val="22"/>
          <w:lang w:eastAsia="en-US"/>
        </w:rPr>
        <w:t>– Ablakok: RAL 1000-1002, 1011-1013, 1018-1019, 1027, 1032, 2001-2002, 2004, 3000-3004, 3005, 3009, 3011, 3016, 4002, 6002-6003, 6005, 6010-6011, 6021, 6025, 7035, 8002, 8007-8019, 8024-8028, 9001, 9010, 9003, 9016.</w:t>
      </w:r>
    </w:p>
    <w:p w:rsidR="004A4DF4" w:rsidRPr="00926A37" w:rsidRDefault="004A4DF4" w:rsidP="004A4DF4">
      <w:pPr>
        <w:spacing w:after="200" w:line="276" w:lineRule="auto"/>
        <w:rPr>
          <w:rFonts w:ascii="Corbel" w:eastAsia="Calibri" w:hAnsi="Corbel" w:cs="Arial"/>
          <w:sz w:val="22"/>
          <w:szCs w:val="22"/>
          <w:lang w:eastAsia="en-US"/>
        </w:rPr>
        <w:sectPr w:rsidR="004A4DF4" w:rsidRPr="00926A37" w:rsidSect="00DE3980">
          <w:headerReference w:type="default" r:id="rId6"/>
          <w:pgSz w:w="11906" w:h="16838"/>
          <w:pgMar w:top="1304" w:right="1134" w:bottom="1247" w:left="1418" w:header="709" w:footer="709" w:gutter="0"/>
          <w:cols w:space="708"/>
          <w:docGrid w:linePitch="360"/>
        </w:sectPr>
      </w:pPr>
      <w:r w:rsidRPr="00926A37">
        <w:rPr>
          <w:rFonts w:ascii="Corbel" w:eastAsia="Calibri" w:hAnsi="Corbel" w:cs="Arial"/>
          <w:sz w:val="22"/>
          <w:szCs w:val="22"/>
          <w:lang w:eastAsia="en-US"/>
        </w:rPr>
        <w:t>– Bejáratok, kerítések, oromzatok, fa szerkezetű melléképítmények színezésére használható színek: RAL 1027, 2001, 3000-3004, 3005, 3009, 3011, 3016, 4002, 6002-6003, 6005, 6010-6011, 60</w:t>
      </w:r>
      <w:r>
        <w:rPr>
          <w:rFonts w:ascii="Corbel" w:eastAsia="Calibri" w:hAnsi="Corbel" w:cs="Arial"/>
          <w:sz w:val="22"/>
          <w:szCs w:val="22"/>
          <w:lang w:eastAsia="en-US"/>
        </w:rPr>
        <w:t>25, 8002, 8007-8019, 8024-8028.</w:t>
      </w:r>
    </w:p>
    <w:p w:rsidR="004A4DF4" w:rsidRPr="00926A37" w:rsidRDefault="004A4DF4" w:rsidP="004A4DF4">
      <w:pPr>
        <w:spacing w:after="200" w:line="276" w:lineRule="auto"/>
        <w:rPr>
          <w:rFonts w:ascii="Corbel" w:eastAsia="Calibri" w:hAnsi="Corbel" w:cs="Arial"/>
          <w:sz w:val="22"/>
          <w:szCs w:val="22"/>
          <w:lang w:eastAsia="en-US"/>
        </w:rPr>
      </w:pPr>
    </w:p>
    <w:p w:rsidR="004A4DF4" w:rsidRPr="00926A37" w:rsidRDefault="004A4DF4" w:rsidP="004A4DF4">
      <w:pPr>
        <w:spacing w:after="200" w:line="276" w:lineRule="auto"/>
        <w:rPr>
          <w:rFonts w:ascii="Corbel" w:eastAsia="Calibri" w:hAnsi="Corbel"/>
          <w:b/>
          <w:szCs w:val="24"/>
          <w:lang w:eastAsia="en-US"/>
        </w:rPr>
      </w:pPr>
      <w:r w:rsidRPr="00926A37">
        <w:rPr>
          <w:rFonts w:ascii="Corbel" w:eastAsia="Calibri" w:hAnsi="Corbel"/>
          <w:b/>
          <w:szCs w:val="24"/>
          <w:lang w:eastAsia="en-US"/>
        </w:rPr>
        <w:t>Közterület-alakítási terv készítéséhez kapcsolódó szempontok</w:t>
      </w:r>
    </w:p>
    <w:p w:rsidR="004A4DF4" w:rsidRPr="00926A37" w:rsidRDefault="004A4DF4" w:rsidP="004A4DF4">
      <w:pPr>
        <w:spacing w:after="200" w:line="276" w:lineRule="auto"/>
        <w:jc w:val="both"/>
        <w:rPr>
          <w:rFonts w:ascii="Corbel" w:eastAsia="Calibri" w:hAnsi="Corbel"/>
          <w:sz w:val="22"/>
          <w:szCs w:val="22"/>
          <w:u w:val="single"/>
          <w:lang w:eastAsia="en-US"/>
        </w:rPr>
      </w:pPr>
      <w:r w:rsidRPr="00926A37">
        <w:rPr>
          <w:rFonts w:ascii="Corbel" w:eastAsia="Calibri" w:hAnsi="Corbel"/>
          <w:sz w:val="22"/>
          <w:szCs w:val="22"/>
          <w:u w:val="single"/>
          <w:lang w:eastAsia="en-US"/>
        </w:rPr>
        <w:t>1.) A közterület alakítási terv készítésekor figyelembe veendő általános tartalmi keretek:</w:t>
      </w:r>
    </w:p>
    <w:p w:rsidR="004A4DF4" w:rsidRPr="00926A37" w:rsidRDefault="004A4DF4" w:rsidP="004A4DF4">
      <w:pPr>
        <w:spacing w:after="200" w:line="276" w:lineRule="auto"/>
        <w:ind w:left="568" w:hanging="284"/>
        <w:jc w:val="both"/>
        <w:rPr>
          <w:rFonts w:ascii="Corbel" w:eastAsia="Calibri" w:hAnsi="Corbel"/>
          <w:sz w:val="22"/>
          <w:szCs w:val="22"/>
          <w:lang w:eastAsia="en-US"/>
        </w:rPr>
      </w:pPr>
      <w:proofErr w:type="gramStart"/>
      <w:r w:rsidRPr="00926A37">
        <w:rPr>
          <w:rFonts w:ascii="Corbel" w:eastAsia="Calibri" w:hAnsi="Corbel"/>
          <w:sz w:val="22"/>
          <w:szCs w:val="22"/>
          <w:lang w:eastAsia="en-US"/>
        </w:rPr>
        <w:t>a</w:t>
      </w:r>
      <w:proofErr w:type="gramEnd"/>
      <w:r w:rsidRPr="00926A37">
        <w:rPr>
          <w:rFonts w:ascii="Corbel" w:eastAsia="Calibri" w:hAnsi="Corbel"/>
          <w:sz w:val="22"/>
          <w:szCs w:val="22"/>
          <w:lang w:eastAsia="en-US"/>
        </w:rPr>
        <w:t xml:space="preserve">) </w:t>
      </w:r>
      <w:proofErr w:type="spellStart"/>
      <w:r w:rsidRPr="00926A37">
        <w:rPr>
          <w:rFonts w:ascii="Corbel" w:eastAsia="Calibri" w:hAnsi="Corbel"/>
          <w:sz w:val="22"/>
          <w:szCs w:val="22"/>
          <w:lang w:eastAsia="en-US"/>
        </w:rPr>
        <w:t>A</w:t>
      </w:r>
      <w:proofErr w:type="spellEnd"/>
      <w:r w:rsidRPr="00926A37">
        <w:rPr>
          <w:rFonts w:ascii="Corbel" w:eastAsia="Calibri" w:hAnsi="Corbel"/>
          <w:sz w:val="22"/>
          <w:szCs w:val="22"/>
          <w:lang w:eastAsia="en-US"/>
        </w:rPr>
        <w:t xml:space="preserve"> tervezési területen az azonos karakterű térrészeken azonos anyagú és harmonizáló stílusú utcabútorok kihelyezésére kell törekedni. A karakterterületen belül azonos módon és rendszerben telepítendők az utcanév táblák és az irányító- és forgalmi táblák.</w:t>
      </w:r>
    </w:p>
    <w:p w:rsidR="004A4DF4" w:rsidRPr="00926A37" w:rsidRDefault="004A4DF4" w:rsidP="004A4DF4">
      <w:pPr>
        <w:spacing w:after="200" w:line="276" w:lineRule="auto"/>
        <w:ind w:left="568" w:hanging="28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b) az utcaszakaszon belül azonos fafajokat kell ültetni</w:t>
      </w:r>
    </w:p>
    <w:p w:rsidR="004A4DF4" w:rsidRPr="00926A37" w:rsidRDefault="004A4DF4" w:rsidP="004A4DF4">
      <w:pPr>
        <w:spacing w:after="240" w:line="276" w:lineRule="auto"/>
        <w:ind w:left="568" w:hanging="28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c) A kiépítendő parkolókat fásítva, vízáteresztő burkolattal, színben, méretrendben harmonizáló burkolóanyag használatával kell kialakítani.</w:t>
      </w:r>
    </w:p>
    <w:p w:rsidR="004A4DF4" w:rsidRPr="00926A37" w:rsidRDefault="004A4DF4" w:rsidP="004A4DF4">
      <w:pPr>
        <w:spacing w:after="200" w:line="276" w:lineRule="auto"/>
        <w:jc w:val="both"/>
        <w:rPr>
          <w:rFonts w:ascii="Corbel" w:eastAsia="Calibri" w:hAnsi="Corbel"/>
          <w:sz w:val="22"/>
          <w:szCs w:val="22"/>
          <w:u w:val="single"/>
          <w:lang w:eastAsia="en-US"/>
        </w:rPr>
      </w:pPr>
      <w:r w:rsidRPr="00926A37">
        <w:rPr>
          <w:rFonts w:ascii="Corbel" w:eastAsia="Calibri" w:hAnsi="Corbel"/>
          <w:sz w:val="22"/>
          <w:szCs w:val="22"/>
          <w:u w:val="single"/>
          <w:lang w:eastAsia="en-US"/>
        </w:rPr>
        <w:t>2.) Helyi értékvédelmi területre és Városi főutcák területére vonatkozó további tartalmi keretek:</w:t>
      </w:r>
    </w:p>
    <w:p w:rsidR="004A4DF4" w:rsidRPr="00926A37" w:rsidRDefault="004A4DF4" w:rsidP="004A4DF4">
      <w:pPr>
        <w:spacing w:after="200" w:line="276" w:lineRule="auto"/>
        <w:ind w:left="567" w:hanging="283"/>
        <w:jc w:val="both"/>
        <w:rPr>
          <w:rFonts w:ascii="Corbel" w:eastAsia="Calibri" w:hAnsi="Corbel"/>
          <w:sz w:val="22"/>
          <w:szCs w:val="22"/>
          <w:lang w:eastAsia="en-US"/>
        </w:rPr>
      </w:pPr>
      <w:proofErr w:type="gramStart"/>
      <w:r w:rsidRPr="00926A37">
        <w:rPr>
          <w:rFonts w:ascii="Corbel" w:eastAsia="Calibri" w:hAnsi="Corbel"/>
          <w:bCs/>
          <w:color w:val="000000"/>
          <w:sz w:val="22"/>
          <w:szCs w:val="22"/>
          <w:lang w:eastAsia="en-US"/>
        </w:rPr>
        <w:t>a</w:t>
      </w:r>
      <w:proofErr w:type="gramEnd"/>
      <w:r w:rsidRPr="00926A37">
        <w:rPr>
          <w:rFonts w:ascii="Corbel" w:eastAsia="Calibri" w:hAnsi="Corbel"/>
          <w:bCs/>
          <w:color w:val="000000"/>
          <w:sz w:val="22"/>
          <w:szCs w:val="22"/>
          <w:lang w:eastAsia="en-US"/>
        </w:rPr>
        <w:t xml:space="preserve">) </w:t>
      </w:r>
      <w:proofErr w:type="spellStart"/>
      <w:r w:rsidRPr="00926A37">
        <w:rPr>
          <w:rFonts w:ascii="Corbel" w:eastAsia="Calibri" w:hAnsi="Corbel"/>
          <w:bCs/>
          <w:color w:val="000000"/>
          <w:sz w:val="22"/>
          <w:szCs w:val="22"/>
          <w:lang w:eastAsia="en-US"/>
        </w:rPr>
        <w:t>A</w:t>
      </w:r>
      <w:proofErr w:type="spellEnd"/>
      <w:r w:rsidRPr="00926A37">
        <w:rPr>
          <w:rFonts w:ascii="Corbel" w:eastAsia="Calibri" w:hAnsi="Corbel"/>
          <w:bCs/>
          <w:color w:val="000000"/>
          <w:sz w:val="22"/>
          <w:szCs w:val="22"/>
          <w:lang w:eastAsia="en-US"/>
        </w:rPr>
        <w:t xml:space="preserve"> közterület alakítási tervben meghatározott paraméterű burkolati anyagokat kell beépíteni.</w:t>
      </w:r>
    </w:p>
    <w:p w:rsidR="004A4DF4" w:rsidRPr="00926A37" w:rsidRDefault="004A4DF4" w:rsidP="004A4DF4">
      <w:pPr>
        <w:spacing w:after="240" w:line="276" w:lineRule="auto"/>
        <w:ind w:left="568" w:hanging="28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b) A közterület alakítási tervekben biztosítani kell az akadálymentesség megoldását is.</w:t>
      </w:r>
    </w:p>
    <w:p w:rsidR="004A4DF4" w:rsidRPr="00926A37" w:rsidRDefault="004A4DF4" w:rsidP="004A4DF4">
      <w:pPr>
        <w:spacing w:after="200" w:line="276" w:lineRule="auto"/>
        <w:ind w:left="567" w:hanging="283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 xml:space="preserve">c) A terek egyedi arculatának biztosítása érdekében a térre komponált köztárgyak, szobrok, </w:t>
      </w:r>
      <w:proofErr w:type="spellStart"/>
      <w:r w:rsidRPr="00926A37">
        <w:rPr>
          <w:rFonts w:ascii="Corbel" w:eastAsia="Calibri" w:hAnsi="Corbel"/>
          <w:sz w:val="22"/>
          <w:szCs w:val="22"/>
          <w:lang w:eastAsia="en-US"/>
        </w:rPr>
        <w:t>landart</w:t>
      </w:r>
      <w:proofErr w:type="spellEnd"/>
      <w:r w:rsidRPr="00926A37">
        <w:rPr>
          <w:rFonts w:ascii="Corbel" w:eastAsia="Calibri" w:hAnsi="Corbel"/>
          <w:sz w:val="22"/>
          <w:szCs w:val="22"/>
          <w:lang w:eastAsia="en-US"/>
        </w:rPr>
        <w:t xml:space="preserve"> tárgyak a helyi művészek bevonásával tervezendők.</w:t>
      </w:r>
    </w:p>
    <w:p w:rsidR="004A4DF4" w:rsidRPr="00926A37" w:rsidRDefault="004A4DF4" w:rsidP="004A4DF4">
      <w:pPr>
        <w:spacing w:after="200" w:line="276" w:lineRule="auto"/>
        <w:jc w:val="both"/>
        <w:rPr>
          <w:rFonts w:ascii="Corbel" w:eastAsia="Calibri" w:hAnsi="Corbel"/>
          <w:sz w:val="22"/>
          <w:szCs w:val="22"/>
          <w:u w:val="single"/>
          <w:lang w:eastAsia="en-US"/>
        </w:rPr>
      </w:pPr>
      <w:r w:rsidRPr="00926A37">
        <w:rPr>
          <w:rFonts w:ascii="Corbel" w:eastAsia="Calibri" w:hAnsi="Corbel"/>
          <w:sz w:val="22"/>
          <w:szCs w:val="22"/>
          <w:u w:val="single"/>
          <w:lang w:eastAsia="en-US"/>
        </w:rPr>
        <w:t>3.) Városkapuk, gazdasági és kereskedelmi területekre vonatkozó további tartalmi keretek:</w:t>
      </w:r>
    </w:p>
    <w:p w:rsidR="004A4DF4" w:rsidRPr="00926A37" w:rsidRDefault="004A4DF4" w:rsidP="004A4DF4">
      <w:pPr>
        <w:spacing w:after="200" w:line="276" w:lineRule="auto"/>
        <w:ind w:left="567" w:hanging="283"/>
        <w:jc w:val="both"/>
        <w:rPr>
          <w:rFonts w:ascii="Corbel" w:eastAsia="Calibri" w:hAnsi="Corbel"/>
          <w:sz w:val="22"/>
          <w:szCs w:val="22"/>
          <w:lang w:eastAsia="en-US"/>
        </w:rPr>
      </w:pPr>
      <w:proofErr w:type="gramStart"/>
      <w:r w:rsidRPr="00926A37">
        <w:rPr>
          <w:rFonts w:ascii="Corbel" w:eastAsia="Calibri" w:hAnsi="Corbel"/>
          <w:sz w:val="22"/>
          <w:szCs w:val="22"/>
          <w:lang w:eastAsia="en-US"/>
        </w:rPr>
        <w:t>a</w:t>
      </w:r>
      <w:proofErr w:type="gramEnd"/>
      <w:r w:rsidRPr="00926A37">
        <w:rPr>
          <w:rFonts w:ascii="Corbel" w:eastAsia="Calibri" w:hAnsi="Corbel"/>
          <w:sz w:val="22"/>
          <w:szCs w:val="22"/>
          <w:lang w:eastAsia="en-US"/>
        </w:rPr>
        <w:t xml:space="preserve">) </w:t>
      </w:r>
      <w:proofErr w:type="spellStart"/>
      <w:r w:rsidRPr="00926A37">
        <w:rPr>
          <w:rFonts w:ascii="Corbel" w:eastAsia="Calibri" w:hAnsi="Corbel"/>
          <w:sz w:val="22"/>
          <w:szCs w:val="22"/>
          <w:lang w:eastAsia="en-US"/>
        </w:rPr>
        <w:t>A</w:t>
      </w:r>
      <w:proofErr w:type="spellEnd"/>
      <w:r w:rsidRPr="00926A37">
        <w:rPr>
          <w:rFonts w:ascii="Corbel" w:eastAsia="Calibri" w:hAnsi="Corbel"/>
          <w:sz w:val="22"/>
          <w:szCs w:val="22"/>
          <w:lang w:eastAsia="en-US"/>
        </w:rPr>
        <w:t xml:space="preserve"> főutak menti teleksor ingatlanjain történő fejlesztések feltétele, hogy – amennyiben rendelkezésre áll – a közterületre vonatkozó tervekkel összehangoltan készüljenek.</w:t>
      </w:r>
    </w:p>
    <w:p w:rsidR="004A4DF4" w:rsidRPr="00926A37" w:rsidRDefault="004A4DF4" w:rsidP="004A4DF4">
      <w:pPr>
        <w:spacing w:after="200" w:line="276" w:lineRule="auto"/>
        <w:ind w:left="709" w:hanging="425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b) Az utak mentén és a városkapu térségekben tájépítészetileg összehangolt fásítást kell megvalósítani.</w:t>
      </w:r>
    </w:p>
    <w:p w:rsidR="004A4DF4" w:rsidRPr="00926A37" w:rsidRDefault="004A4DF4" w:rsidP="004A4DF4">
      <w:pPr>
        <w:spacing w:after="240" w:line="276" w:lineRule="auto"/>
        <w:ind w:left="568" w:hanging="28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lang w:eastAsia="en-US"/>
        </w:rPr>
        <w:t>c) A csomópontokban és a főutak mentén e rendelet IV. fejezete szerinti reklámhordozókat, reklámokat, tájékoztató és információs táblákat, összevontan meghatározott sávokban, zónákban és pontokon javasolt elhelyezni.</w:t>
      </w:r>
    </w:p>
    <w:p w:rsidR="004A4DF4" w:rsidRPr="00926A37" w:rsidRDefault="004A4DF4" w:rsidP="004A4DF4">
      <w:pPr>
        <w:spacing w:after="240" w:line="276" w:lineRule="auto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926A37">
        <w:rPr>
          <w:rFonts w:ascii="Corbel" w:eastAsia="Calibri" w:hAnsi="Corbel"/>
          <w:sz w:val="22"/>
          <w:szCs w:val="22"/>
          <w:u w:val="single"/>
          <w:lang w:eastAsia="en-US"/>
        </w:rPr>
        <w:t>4.) Lakótelepi karakterű területre vonatkozó további tartalmi keretek:</w:t>
      </w:r>
    </w:p>
    <w:p w:rsidR="004A4DF4" w:rsidRPr="00926A37" w:rsidRDefault="004A4DF4" w:rsidP="004A4DF4">
      <w:pPr>
        <w:spacing w:after="240" w:line="276" w:lineRule="auto"/>
        <w:ind w:left="568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926A37">
        <w:rPr>
          <w:rFonts w:ascii="Corbel" w:eastAsia="Calibri" w:hAnsi="Corbel"/>
          <w:sz w:val="22"/>
          <w:szCs w:val="22"/>
          <w:lang w:eastAsia="en-US"/>
        </w:rPr>
        <w:t>a</w:t>
      </w:r>
      <w:proofErr w:type="gramEnd"/>
      <w:r w:rsidRPr="00926A37">
        <w:rPr>
          <w:rFonts w:ascii="Corbel" w:eastAsia="Calibri" w:hAnsi="Corbel"/>
          <w:sz w:val="22"/>
          <w:szCs w:val="22"/>
          <w:lang w:eastAsia="en-US"/>
        </w:rPr>
        <w:t>) Az új vagy átépülő tömbök beépítésénél a közterületek kialakítását, az ott létesítendő köztárgyak, utcabútorok típusát és karakterét, a zöldfelületek kialakítását, úgy kell meghatározni, hogy azok összhangban legyenek a városközpont rehabilitált karakterével.</w:t>
      </w:r>
    </w:p>
    <w:p w:rsidR="004A4DF4" w:rsidRDefault="004A4DF4" w:rsidP="004A4DF4">
      <w:pPr>
        <w:jc w:val="both"/>
        <w:rPr>
          <w:sz w:val="22"/>
          <w:szCs w:val="22"/>
        </w:rPr>
      </w:pPr>
    </w:p>
    <w:p w:rsidR="009F02A7" w:rsidRDefault="009F02A7"/>
    <w:sectPr w:rsidR="009F02A7" w:rsidSect="00D5218D">
      <w:headerReference w:type="even" r:id="rId7"/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6670">
      <w:r>
        <w:separator/>
      </w:r>
    </w:p>
  </w:endnote>
  <w:endnote w:type="continuationSeparator" w:id="0">
    <w:p w:rsidR="00000000" w:rsidRDefault="001E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6670">
      <w:r>
        <w:separator/>
      </w:r>
    </w:p>
  </w:footnote>
  <w:footnote w:type="continuationSeparator" w:id="0">
    <w:p w:rsidR="00000000" w:rsidRDefault="001E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37" w:rsidRPr="00006CB6" w:rsidRDefault="001E6670" w:rsidP="00DE3980">
    <w:pPr>
      <w:pStyle w:val="lfej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06" w:rsidRDefault="004A4DF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54D06" w:rsidRDefault="001E667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06" w:rsidRDefault="004A4DF4">
    <w:pPr>
      <w:pStyle w:val="lfej"/>
      <w:framePr w:wrap="around" w:vAnchor="text" w:hAnchor="page" w:x="5905" w:y="12"/>
      <w:rPr>
        <w:rStyle w:val="Oldalszm"/>
        <w:sz w:val="20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PAGE 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2</w:t>
    </w:r>
    <w:r>
      <w:rPr>
        <w:rStyle w:val="Oldalszm"/>
        <w:sz w:val="20"/>
      </w:rPr>
      <w:fldChar w:fldCharType="end"/>
    </w:r>
  </w:p>
  <w:p w:rsidR="00054D06" w:rsidRDefault="001E667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F4"/>
    <w:rsid w:val="001E6670"/>
    <w:rsid w:val="004A4DF4"/>
    <w:rsid w:val="00702BFD"/>
    <w:rsid w:val="009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71B1A-0C70-4FE3-8BED-B6D8AE89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4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A4D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4DF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4A4DF4"/>
  </w:style>
  <w:style w:type="paragraph" w:styleId="llb">
    <w:name w:val="footer"/>
    <w:basedOn w:val="Norml"/>
    <w:link w:val="llbChar"/>
    <w:uiPriority w:val="99"/>
    <w:unhideWhenUsed/>
    <w:rsid w:val="00702B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2BF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3</cp:revision>
  <dcterms:created xsi:type="dcterms:W3CDTF">2018-12-17T08:17:00Z</dcterms:created>
  <dcterms:modified xsi:type="dcterms:W3CDTF">2018-12-17T12:17:00Z</dcterms:modified>
</cp:coreProperties>
</file>