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2" w:rsidRPr="00A40424" w:rsidRDefault="00A40424">
      <w:pPr>
        <w:pStyle w:val="lfej"/>
        <w:rPr>
          <w:b/>
          <w:sz w:val="22"/>
          <w:szCs w:val="22"/>
          <w:u w:val="single"/>
        </w:rPr>
      </w:pPr>
      <w:bookmarkStart w:id="0" w:name="_GoBack"/>
      <w:bookmarkEnd w:id="0"/>
      <w:r w:rsidRPr="00A40424">
        <w:rPr>
          <w:b/>
          <w:sz w:val="22"/>
          <w:szCs w:val="22"/>
          <w:u w:val="single"/>
        </w:rPr>
        <w:t>KISKŐRÖS VÁROS POLGÁRMESTERE</w:t>
      </w:r>
    </w:p>
    <w:p w:rsidR="00E06DB2" w:rsidRDefault="0092667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</w:t>
      </w:r>
    </w:p>
    <w:p w:rsidR="00E06DB2" w:rsidRDefault="00E06DB2">
      <w:pPr>
        <w:jc w:val="center"/>
        <w:rPr>
          <w:b/>
          <w:bCs/>
          <w:sz w:val="22"/>
          <w:szCs w:val="22"/>
          <w:u w:val="single"/>
        </w:rPr>
      </w:pPr>
    </w:p>
    <w:p w:rsidR="00E06DB2" w:rsidRDefault="0092667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ELŐTERJESZTÉS</w:t>
      </w:r>
    </w:p>
    <w:p w:rsidR="00E06DB2" w:rsidRDefault="00A40424">
      <w:pPr>
        <w:jc w:val="center"/>
      </w:pPr>
      <w:r>
        <w:rPr>
          <w:sz w:val="22"/>
          <w:szCs w:val="22"/>
        </w:rPr>
        <w:t xml:space="preserve">(a Képviselő-testület </w:t>
      </w:r>
      <w:r w:rsidR="00926675">
        <w:rPr>
          <w:sz w:val="22"/>
          <w:szCs w:val="22"/>
        </w:rPr>
        <w:t>2018. május 30-i ülésére)</w:t>
      </w:r>
    </w:p>
    <w:p w:rsidR="00E06DB2" w:rsidRDefault="00E06DB2">
      <w:pPr>
        <w:jc w:val="center"/>
        <w:rPr>
          <w:sz w:val="22"/>
          <w:szCs w:val="22"/>
        </w:rPr>
      </w:pPr>
    </w:p>
    <w:p w:rsidR="00E06DB2" w:rsidRDefault="00E06DB2">
      <w:pPr>
        <w:ind w:left="1410" w:hanging="1410"/>
        <w:jc w:val="both"/>
        <w:rPr>
          <w:b/>
          <w:bCs/>
          <w:sz w:val="22"/>
          <w:szCs w:val="22"/>
          <w:u w:val="single"/>
        </w:rPr>
      </w:pPr>
    </w:p>
    <w:p w:rsidR="00E06DB2" w:rsidRDefault="00926675">
      <w:pPr>
        <w:ind w:left="1410" w:hanging="1410"/>
        <w:jc w:val="both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TÁRGY: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Beszámoló a Kőröskom Kft. 2017. évi tevékenységéről, alapítói hatáskörök gyakorlása a Kft-nél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100%-ban Kiskőrös Város Önkormányzata tulajdonát képező Kiskőrös Önkormányzat Kommunális Szolgáltató Nonprofit</w:t>
      </w:r>
      <w:r w:rsidR="00A40424">
        <w:rPr>
          <w:sz w:val="22"/>
          <w:szCs w:val="22"/>
        </w:rPr>
        <w:t xml:space="preserve"> Korlátolt Felelősségű Társaság</w:t>
      </w:r>
      <w:r>
        <w:rPr>
          <w:sz w:val="22"/>
          <w:szCs w:val="22"/>
        </w:rPr>
        <w:t xml:space="preserve"> (a továbbiakban: KŐRÖSKOM Kft.) tulajdonosi jogait a Képviselő-testület gyakorolja. A Polgári Törvénykönyvről szóló 2013. évi V. törvény (</w:t>
      </w:r>
      <w:r w:rsidR="00A40424">
        <w:rPr>
          <w:sz w:val="22"/>
          <w:szCs w:val="22"/>
        </w:rPr>
        <w:t>továbbiakban Ptk.) 3:109. § (1)</w:t>
      </w:r>
      <w:r>
        <w:rPr>
          <w:sz w:val="22"/>
          <w:szCs w:val="22"/>
        </w:rPr>
        <w:t xml:space="preserve"> bekezdésben foglaltak szerint „A gazdasági társaság tagjainak döntéshozó szerve a legfőbb szerv.”   Ptk. 3:109. §   (4) Egyszemélyes társaságnál a legfőbb szerv hatáskörét az alapító vagy az egyedüli tag gyakorolja. A legfőbb szerv hatáskörébe tartozó kérdésekben az alapító vagy az egyedüli tag írásban határoz és a döntés az ügyvezetéssel való közléssel válik hatályossá.</w:t>
      </w:r>
    </w:p>
    <w:p w:rsidR="00E06DB2" w:rsidRDefault="00E06DB2">
      <w:pPr>
        <w:ind w:firstLine="204"/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 xml:space="preserve">Ptk. 3:109. §  (2) A gazdasági társaság legfőbb szervének feladata a társaság alapvető üzleti és személyi kérdéseiben való döntéshozatal. A legfőbb szerv hatáskörébe tartozik a számviteli törvény szerinti beszámoló (a továbbiakban: beszámoló) jóváhagyása és a nyereség felosztásáról való döntés.  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</w:t>
      </w:r>
      <w:r>
        <w:t xml:space="preserve"> </w:t>
      </w:r>
      <w:r>
        <w:rPr>
          <w:sz w:val="22"/>
          <w:szCs w:val="22"/>
        </w:rPr>
        <w:t xml:space="preserve">KŐRÖSKOM Kft. javadalmazási szabályzata értelmében, a Képviselő-testület az ügyvezető személyi alapbérének tekintetében évente egyszer, az előző üzleti év beszámolójának tárgyalásakor dönt a bérfejlesztés lehetőségéről, az ügyvezető prémiumáról, valamint az aktuális évre vonatkozó prémiumfeltételekről. A Képviselő-testület a 73/2016. sz. Képviselő-testületi határozatában foglaltak szerint az ügyvezető </w:t>
      </w:r>
      <w:r>
        <w:rPr>
          <w:sz w:val="22"/>
          <w:szCs w:val="22"/>
          <w:lang w:eastAsia="en-US"/>
        </w:rPr>
        <w:t>Schäffer Tamás András, személyi alapbére 2016. június 01. napjától bruttó 600 000 Ft, ezen felül az ügyvezető havonta 5 000 Ft összegű választása szerinti béren kívüli juttatásra jogosult.</w:t>
      </w:r>
    </w:p>
    <w:p w:rsidR="00E06DB2" w:rsidRDefault="00E06DB2">
      <w:pPr>
        <w:jc w:val="both"/>
        <w:rPr>
          <w:strike/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 xml:space="preserve">A KŐRÖSKOM Kft. a számviteli törvény rendelkezései alapján összeállította a 2017. évi egyszerűsített éves beszámolóját, amely a határozat-tervezet 1. sz. mellékletét képezi. A határozat-tervezet 1. sz. melléklete tartalmazza a </w:t>
      </w:r>
      <w:r w:rsidRPr="00A40424">
        <w:rPr>
          <w:sz w:val="22"/>
          <w:szCs w:val="22"/>
        </w:rPr>
        <w:t>2017. évi mérleget, eredménykimutatást, kiegészítő mellékletet és a Független Könyvvizsgálói Jelentést. Benyújtásra került a Kft. 2018. évre vonatkozó üzleti terve, melyet a határozat- tervezet 2. sz. melléklete tartalmaz</w:t>
      </w:r>
      <w:r>
        <w:rPr>
          <w:sz w:val="22"/>
          <w:szCs w:val="22"/>
        </w:rPr>
        <w:t>. A Felügyelő Bizottság a beszámolót és az üzleti tervet várhatóan május 29-i ülésén tárgyalja.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 xml:space="preserve">A KŐRÖSKOM Kft. főbb mutatóinak idősoros alakulását az alábbi grafikon tartalmazza. 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ind w:firstLine="204"/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 xml:space="preserve"> </w:t>
      </w:r>
    </w:p>
    <w:p w:rsidR="00E06DB2" w:rsidRDefault="00E06DB2">
      <w:pPr>
        <w:jc w:val="both"/>
        <w:rPr>
          <w:strike/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609715" cy="41630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pStyle w:val="Szvegtrzs"/>
      </w:pPr>
      <w:r>
        <w:rPr>
          <w:sz w:val="22"/>
          <w:szCs w:val="22"/>
        </w:rPr>
        <w:t>A beszámoló alapján a tárgyi eszközök bruttó értéke összesen 32 751 ezer Ft-tal növekedett (</w:t>
      </w:r>
      <w:r>
        <w:t>jelentősebb beruházások: 1 db beépítetlen ingatlan a termelői piac bővítéséhez 24 960 ezer Ft, valamint faapríték gyártásához 1 db faaprító gép és 1 db traktor 5 709 ezer Ft)</w:t>
      </w:r>
      <w:r>
        <w:rPr>
          <w:sz w:val="22"/>
          <w:szCs w:val="22"/>
        </w:rPr>
        <w:t>, a könyv szerinti érték 22 889 ezer Ft-tal nőtt.</w:t>
      </w:r>
    </w:p>
    <w:p w:rsidR="00E06DB2" w:rsidRDefault="00E06DB2">
      <w:pPr>
        <w:jc w:val="both"/>
        <w:rPr>
          <w:sz w:val="22"/>
          <w:szCs w:val="22"/>
          <w:highlight w:val="yellow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forgóeszközökön belül csökkent a követelések részaránya 2016. évhez képest, ez összegben 6 millió Ft-t jelent, 17 millió Ft-ról 11 millió Ft-ra csökkent. A hulladékszállítási díjjal kapcsol</w:t>
      </w:r>
      <w:r w:rsidR="00111652">
        <w:rPr>
          <w:sz w:val="22"/>
          <w:szCs w:val="22"/>
        </w:rPr>
        <w:t xml:space="preserve">atos követelés (6,3 millió Ft) </w:t>
      </w:r>
      <w:r>
        <w:rPr>
          <w:sz w:val="22"/>
          <w:szCs w:val="22"/>
        </w:rPr>
        <w:t xml:space="preserve">teljes egészében lejárt követelés,. A hulladékszállítási díjhátralékosok esetében a </w:t>
      </w:r>
      <w:bookmarkStart w:id="1" w:name="__DdeLink__336_2416706744"/>
      <w:r>
        <w:rPr>
          <w:sz w:val="22"/>
          <w:szCs w:val="22"/>
        </w:rPr>
        <w:t>KŐRÖSKOM</w:t>
      </w:r>
      <w:bookmarkEnd w:id="1"/>
      <w:r>
        <w:rPr>
          <w:sz w:val="22"/>
          <w:szCs w:val="22"/>
        </w:rPr>
        <w:t xml:space="preserve"> Kft. az eredménytelen felszólításokat követően a díjhátralék adók módjára történő behajtását kezdeményezte Nemzeti Adó- és Vámhivatalnál. Ezek részben eredményre vezettek, azonban valószínűsíthető, hogy</w:t>
      </w:r>
      <w:r w:rsidR="00111652">
        <w:rPr>
          <w:sz w:val="22"/>
          <w:szCs w:val="22"/>
        </w:rPr>
        <w:t xml:space="preserve"> </w:t>
      </w:r>
      <w:r>
        <w:rPr>
          <w:sz w:val="22"/>
          <w:szCs w:val="22"/>
        </w:rPr>
        <w:t>a még fennálló díj tartozások gyakorlatilag behajthatatlanok, emiatt 100 % értékvesztés került elszámolásra.</w:t>
      </w:r>
    </w:p>
    <w:p w:rsidR="00E06DB2" w:rsidRDefault="00E06DB2">
      <w:pPr>
        <w:jc w:val="both"/>
        <w:rPr>
          <w:sz w:val="22"/>
          <w:szCs w:val="22"/>
          <w:highlight w:val="yellow"/>
        </w:rPr>
      </w:pPr>
    </w:p>
    <w:p w:rsidR="00E06DB2" w:rsidRDefault="00926675">
      <w:pPr>
        <w:jc w:val="both"/>
      </w:pPr>
      <w:r>
        <w:rPr>
          <w:sz w:val="22"/>
          <w:szCs w:val="22"/>
        </w:rPr>
        <w:t>Az értékpap</w:t>
      </w:r>
      <w:r w:rsidR="00111652">
        <w:rPr>
          <w:sz w:val="22"/>
          <w:szCs w:val="22"/>
        </w:rPr>
        <w:t xml:space="preserve">írok és pénzeszközök állománya </w:t>
      </w:r>
      <w:r>
        <w:rPr>
          <w:sz w:val="22"/>
          <w:szCs w:val="22"/>
        </w:rPr>
        <w:t>minimális növekedést mutat 2016. évvégi állapothoz képest, így a forgóeszközökön belüli aránya 87,8%. A KŐRÖSKOM Kft a szabad pénzeszközeit elsősorban értékpapír számlán tartja.</w:t>
      </w:r>
    </w:p>
    <w:p w:rsidR="00E06DB2" w:rsidRDefault="00E06DB2">
      <w:pPr>
        <w:jc w:val="both"/>
        <w:rPr>
          <w:sz w:val="22"/>
          <w:szCs w:val="22"/>
          <w:highlight w:val="yellow"/>
        </w:rPr>
      </w:pPr>
    </w:p>
    <w:p w:rsidR="00E06DB2" w:rsidRDefault="00926675">
      <w:pPr>
        <w:jc w:val="both"/>
      </w:pPr>
      <w:r>
        <w:rPr>
          <w:sz w:val="22"/>
          <w:szCs w:val="22"/>
        </w:rPr>
        <w:t xml:space="preserve">A KŐRÖSKOM Kft az eredménytartalékból a tárgy év végén 11 000 ezer Ft fejlesztési tartalékot képzett, mely átvezetésre került a lekötött tartalékba. 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Az értékesítés nettó árbevétele az előző évi szinthez képest 9 %-kal csökkent, amely összegszerűen 24 millió Ft-t jelent (a 2017. évi csökkenés az út, csatorna és egyéb építőipari és szakipari munkákból keletkezett), az 1 főre jutó nyereség a 2016. évihez képest jelentősen emelkedett, amely nagyon jó teljesítésnek minősül.  A KŐRÖSKOM Kft. szokásos vállalkozási eredménye a 2016. évit 60 %-kal haladja meg, az adózott eredménye 55 %-kal. A jelentős növekedés a jobb vállalkozási lehetőségek/körülmények eredménye.</w:t>
      </w:r>
    </w:p>
    <w:p w:rsidR="00E06DB2" w:rsidRDefault="00E06DB2">
      <w:pPr>
        <w:jc w:val="both"/>
        <w:rPr>
          <w:sz w:val="22"/>
          <w:szCs w:val="22"/>
          <w:highlight w:val="yellow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KŐRÖSKOM Kft. 2017. évi szokásos vállalkozási eredménye 22 186 ezer Ft, ebből üzemi tevékenység eredménye 21 749 ezer Ft (nyereség), pénzügyi műveletek eredménye 437 ezer Ft. Az adózott eredmény és a mérleg szerinti eredmény 20 533 ezer Ft.</w:t>
      </w:r>
    </w:p>
    <w:p w:rsidR="00E06DB2" w:rsidRDefault="00E06DB2">
      <w:pPr>
        <w:jc w:val="both"/>
        <w:rPr>
          <w:sz w:val="22"/>
          <w:szCs w:val="22"/>
          <w:highlight w:val="yellow"/>
        </w:rPr>
      </w:pP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Az ügyvezető javaslatával egyetértésben 50 000 ezer Ft osztalék kifizetés jóváhagyását javaslom a szabad eredménytartalék terhére. 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prémiumfeltételekben meghatározott 2017. évi célkitűzéseket a KŐRÖSKOM Kft. ügyvezetője teljesítette: a KŐRÖSKOM Kft. fizetőképessége, likviditása biztosított volt, a 2017. évi adózott eredmény pozitív összegű, az Önkormányzattal szerződött feladatok - beruházás, felújítás, fenntartás, egyéb szolgáltatások- a követelmények szerint teljesültek, a Kőrösszolg Kft, hatékony, gazdaságos és eredményes működést támogatja, biztosítja.</w:t>
      </w:r>
    </w:p>
    <w:p w:rsidR="00E06DB2" w:rsidRDefault="00E06DB2">
      <w:pPr>
        <w:rPr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fentiek alapján javaslom, hogy a Képviselő-testület a KŐRÖSKOM Kft. 2017. évi egyszerűsített éves beszámolóját, a KŐRÖSKOM Kft. ügyvezetőjének 2017. évi prémiumának megállapítását, valamint a 2018. évi prémiumfeltételeit a határozat-tervezetben foglaltak szerint fogadja el.</w:t>
      </w:r>
    </w:p>
    <w:p w:rsidR="00E06DB2" w:rsidRDefault="00E06DB2" w:rsidP="00A40424">
      <w:pPr>
        <w:jc w:val="both"/>
        <w:rPr>
          <w:b/>
          <w:bCs/>
          <w:sz w:val="22"/>
          <w:szCs w:val="22"/>
        </w:rPr>
      </w:pPr>
    </w:p>
    <w:p w:rsidR="00E06DB2" w:rsidRPr="00A40424" w:rsidRDefault="00A40424" w:rsidP="00A40424">
      <w:pPr>
        <w:ind w:left="540" w:hanging="540"/>
        <w:jc w:val="both"/>
      </w:pPr>
      <w:r>
        <w:rPr>
          <w:b/>
          <w:bCs/>
          <w:sz w:val="22"/>
          <w:szCs w:val="22"/>
        </w:rPr>
        <w:t>Kiskőrös, 2018. május 22</w:t>
      </w:r>
      <w:r w:rsidR="00926675">
        <w:rPr>
          <w:b/>
          <w:bCs/>
          <w:sz w:val="22"/>
          <w:szCs w:val="22"/>
        </w:rPr>
        <w:t>.</w:t>
      </w:r>
    </w:p>
    <w:p w:rsidR="00E06DB2" w:rsidRDefault="00E06DB2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E06DB2" w:rsidRDefault="00926675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A40424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Domonyi László sk.</w:t>
      </w:r>
    </w:p>
    <w:p w:rsidR="00E06DB2" w:rsidRDefault="00926675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A4042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polgármester</w:t>
      </w:r>
    </w:p>
    <w:p w:rsidR="00E06DB2" w:rsidRDefault="00E06DB2">
      <w:pPr>
        <w:rPr>
          <w:sz w:val="22"/>
          <w:szCs w:val="22"/>
        </w:rPr>
      </w:pPr>
    </w:p>
    <w:p w:rsidR="00E06DB2" w:rsidRDefault="00E06DB2" w:rsidP="00A40424">
      <w:pPr>
        <w:rPr>
          <w:b/>
          <w:bCs/>
          <w:sz w:val="22"/>
          <w:szCs w:val="22"/>
        </w:rPr>
      </w:pPr>
    </w:p>
    <w:p w:rsidR="00E06DB2" w:rsidRPr="00A40424" w:rsidRDefault="00926675" w:rsidP="00A40424">
      <w:pPr>
        <w:jc w:val="center"/>
      </w:pPr>
      <w:r>
        <w:rPr>
          <w:b/>
          <w:bCs/>
          <w:sz w:val="22"/>
          <w:szCs w:val="22"/>
        </w:rPr>
        <w:t>HATÁROZAT-TERVEZET</w:t>
      </w:r>
    </w:p>
    <w:p w:rsidR="00E06DB2" w:rsidRDefault="00E06DB2">
      <w:pPr>
        <w:jc w:val="center"/>
        <w:rPr>
          <w:b/>
          <w:bCs/>
          <w:sz w:val="22"/>
          <w:szCs w:val="22"/>
        </w:rPr>
      </w:pPr>
    </w:p>
    <w:p w:rsidR="00E06DB2" w:rsidRDefault="00926675">
      <w:pPr>
        <w:jc w:val="both"/>
      </w:pPr>
      <w:r>
        <w:rPr>
          <w:sz w:val="22"/>
          <w:szCs w:val="22"/>
        </w:rPr>
        <w:t>A Képviselő-testület az önkormányzat kizárólagos tulajdonában lévő KŐRÖSKOM Kft. tulajdonosi jogait gyakorló hatáskörében: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KŐRÖSKOM Kft. 2017. üzleti évre vonatkozó egyszerűsített éves beszámolóját (mérlegét, eredménykimutatását és kiegészítő mellékletét) - figyelemmel a Felügyelő Bizottság és a Könyvvizsgáló jelentésére is- a határozat-tervezet 1. sz. melléklete szerinti tartalommal jóváhagyja </w:t>
      </w:r>
    </w:p>
    <w:p w:rsidR="00E06DB2" w:rsidRDefault="00926675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Kft. ügyvezetőjének osztalékról szóló javaslatát elfogadja 50 000 ezer Ft osztalék kifizetéséről az eredménytartalék terhére a tulajdonos részére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Kft. ügyvezetőjének a 2018. évre benyújtott üzleti tervét a határozat-tervezet 2. sz. melléklete szerinti tartalommal elfogadja</w:t>
      </w:r>
    </w:p>
    <w:p w:rsidR="00E06DB2" w:rsidRDefault="00E06DB2">
      <w:pPr>
        <w:ind w:left="360"/>
        <w:jc w:val="both"/>
        <w:rPr>
          <w:sz w:val="22"/>
          <w:szCs w:val="22"/>
        </w:rPr>
      </w:pPr>
    </w:p>
    <w:p w:rsidR="00E06DB2" w:rsidRDefault="00926675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Kft. ügyvezetőjének 2017. évi prémiumát az 86/2017.sz. képviselő-testületi határozatban meghatározott feltételek teljesítésének megfelelően a 2017. évi személyi alapbér 25 %-ában, azaz bruttó 1 800 000 Ft-ban állapítja meg.</w:t>
      </w:r>
    </w:p>
    <w:p w:rsidR="00E06DB2" w:rsidRDefault="00E06DB2">
      <w:pPr>
        <w:ind w:left="720"/>
        <w:jc w:val="both"/>
        <w:rPr>
          <w:sz w:val="22"/>
          <w:szCs w:val="22"/>
        </w:rPr>
      </w:pPr>
    </w:p>
    <w:p w:rsidR="00E06DB2" w:rsidRDefault="00926675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Kft. ügyvezetőjének 2018. évi prémiumfeltételeit és a feltételek teljesítése esetére a prémium éves személyi alapbérben kifejezett százalékos mértékét a határozat-tervezet 3. sz. mellékletében foglaltak szerint határozza meg.</w:t>
      </w:r>
    </w:p>
    <w:p w:rsidR="00E06DB2" w:rsidRDefault="00926675">
      <w:pPr>
        <w:numPr>
          <w:ilvl w:val="0"/>
          <w:numId w:val="1"/>
        </w:numPr>
        <w:jc w:val="both"/>
      </w:pPr>
      <w:r>
        <w:rPr>
          <w:sz w:val="24"/>
          <w:szCs w:val="24"/>
        </w:rPr>
        <w:t>felkéri a polgármestert, hogy a költségvetési rendelet soron következő módosítását jelen határozat 2. pontjában foglaltak figyelembevételével terjessze elő</w:t>
      </w:r>
    </w:p>
    <w:p w:rsidR="00E06DB2" w:rsidRDefault="00E06DB2">
      <w:pPr>
        <w:jc w:val="both"/>
        <w:rPr>
          <w:sz w:val="22"/>
          <w:szCs w:val="22"/>
        </w:rPr>
      </w:pPr>
    </w:p>
    <w:p w:rsidR="00E06DB2" w:rsidRDefault="00926675"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E06DB2" w:rsidRDefault="00926675"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ügyvezető </w:t>
      </w:r>
    </w:p>
    <w:p w:rsidR="00E06DB2" w:rsidRPr="00A40424" w:rsidRDefault="00926675" w:rsidP="00A40424">
      <w:r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ab/>
      </w:r>
      <w:r w:rsidRPr="00A40424">
        <w:rPr>
          <w:bCs/>
          <w:sz w:val="22"/>
          <w:szCs w:val="22"/>
        </w:rPr>
        <w:t>2018. értelemszerűen</w:t>
      </w:r>
    </w:p>
    <w:p w:rsidR="00E06DB2" w:rsidRDefault="00E06DB2">
      <w:pPr>
        <w:jc w:val="both"/>
        <w:rPr>
          <w:sz w:val="22"/>
          <w:szCs w:val="22"/>
        </w:rPr>
      </w:pPr>
    </w:p>
    <w:sectPr w:rsidR="00E06DB2">
      <w:footerReference w:type="default" r:id="rId8"/>
      <w:pgSz w:w="11906" w:h="16838"/>
      <w:pgMar w:top="1418" w:right="1418" w:bottom="1418" w:left="1418" w:header="0" w:footer="1151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51" w:rsidRDefault="00454051">
      <w:r>
        <w:separator/>
      </w:r>
    </w:p>
  </w:endnote>
  <w:endnote w:type="continuationSeparator" w:id="0">
    <w:p w:rsidR="00454051" w:rsidRDefault="0045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B2" w:rsidRDefault="00926675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6DB2" w:rsidRDefault="00926675"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76F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eret1" o:spid="_x0000_s1026" style="position:absolute;margin-left:0;margin-top:.05pt;width:5.25pt;height:11.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" filled="f" stroked="f">
              <v:textbox style="mso-fit-shape-to-text:t" inset="0,0,0,0">
                <w:txbxContent>
                  <w:p w:rsidR="00E06DB2" w:rsidRDefault="00926675"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76F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51" w:rsidRDefault="00454051">
      <w:r>
        <w:separator/>
      </w:r>
    </w:p>
  </w:footnote>
  <w:footnote w:type="continuationSeparator" w:id="0">
    <w:p w:rsidR="00454051" w:rsidRDefault="0045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085"/>
    <w:multiLevelType w:val="multilevel"/>
    <w:tmpl w:val="15CC9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E7EC3"/>
    <w:multiLevelType w:val="multilevel"/>
    <w:tmpl w:val="9500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B2"/>
    <w:rsid w:val="00111652"/>
    <w:rsid w:val="00230257"/>
    <w:rsid w:val="00376F8E"/>
    <w:rsid w:val="00454051"/>
    <w:rsid w:val="00926675"/>
    <w:rsid w:val="00A40424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BD13F-CC79-4646-A8FF-3E54299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C8"/>
    <w:rPr>
      <w:color w:val="00000A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B5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qFormat/>
    <w:locked/>
    <w:rsid w:val="00A957C0"/>
    <w:rPr>
      <w:rFonts w:ascii="Cambria" w:hAnsi="Cambria" w:cs="Cambria"/>
      <w:b/>
      <w:bCs/>
      <w:kern w:val="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qFormat/>
    <w:locked/>
    <w:rsid w:val="009B35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qFormat/>
    <w:locked/>
    <w:rsid w:val="00D23204"/>
    <w:rPr>
      <w:rFonts w:ascii="Cambria" w:hAnsi="Cambria" w:cs="Cambria"/>
      <w:b/>
      <w:bCs/>
      <w:sz w:val="26"/>
      <w:szCs w:val="26"/>
    </w:rPr>
  </w:style>
  <w:style w:type="character" w:customStyle="1" w:styleId="llbChar">
    <w:name w:val="Élőláb Char"/>
    <w:basedOn w:val="Bekezdsalapbettpusa"/>
    <w:link w:val="llb"/>
    <w:uiPriority w:val="99"/>
    <w:semiHidden/>
    <w:qFormat/>
    <w:locked/>
    <w:rsid w:val="00A957C0"/>
  </w:style>
  <w:style w:type="character" w:styleId="Oldalszm">
    <w:name w:val="page number"/>
    <w:basedOn w:val="Bekezdsalapbettpusa"/>
    <w:uiPriority w:val="99"/>
    <w:qFormat/>
    <w:rsid w:val="001C5AC8"/>
  </w:style>
  <w:style w:type="character" w:customStyle="1" w:styleId="lfejChar">
    <w:name w:val="Élőfej Char"/>
    <w:basedOn w:val="Bekezdsalapbettpusa"/>
    <w:link w:val="lfej"/>
    <w:uiPriority w:val="99"/>
    <w:qFormat/>
    <w:locked/>
    <w:rsid w:val="00B26FAD"/>
    <w:rPr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A957C0"/>
    <w:rPr>
      <w:sz w:val="2"/>
      <w:szCs w:val="2"/>
    </w:rPr>
  </w:style>
  <w:style w:type="character" w:customStyle="1" w:styleId="BodyTextChar">
    <w:name w:val="Body Text Char"/>
    <w:basedOn w:val="Bekezdsalapbettpusa"/>
    <w:uiPriority w:val="99"/>
    <w:semiHidden/>
    <w:qFormat/>
    <w:locked/>
    <w:rsid w:val="00E41FDE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locked/>
    <w:rsid w:val="009B3527"/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qFormat/>
    <w:locked/>
    <w:rsid w:val="00D23204"/>
    <w:rPr>
      <w:sz w:val="20"/>
      <w:szCs w:val="20"/>
    </w:rPr>
  </w:style>
  <w:style w:type="character" w:customStyle="1" w:styleId="CharChar7">
    <w:name w:val="Char Char7"/>
    <w:uiPriority w:val="99"/>
    <w:qFormat/>
    <w:locked/>
    <w:rsid w:val="00E73523"/>
    <w:rPr>
      <w:rFonts w:ascii="Cambria" w:hAnsi="Cambria" w:cs="Cambria"/>
      <w:b/>
      <w:bCs/>
      <w:kern w:val="2"/>
      <w:sz w:val="32"/>
      <w:szCs w:val="32"/>
    </w:rPr>
  </w:style>
  <w:style w:type="character" w:customStyle="1" w:styleId="CharChar1">
    <w:name w:val="Char Char1"/>
    <w:uiPriority w:val="99"/>
    <w:semiHidden/>
    <w:qFormat/>
    <w:locked/>
    <w:rsid w:val="00E73523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uiPriority w:val="99"/>
    <w:qFormat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qFormat/>
    <w:rsid w:val="001C5AC8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qFormat/>
    <w:rsid w:val="003659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B57925"/>
    <w:pPr>
      <w:spacing w:after="120"/>
      <w:ind w:left="283"/>
    </w:pPr>
  </w:style>
  <w:style w:type="paragraph" w:customStyle="1" w:styleId="Nincstrkz1">
    <w:name w:val="Nincs térköz1"/>
    <w:basedOn w:val="Norml"/>
    <w:uiPriority w:val="99"/>
    <w:qFormat/>
    <w:rsid w:val="00B57925"/>
    <w:rPr>
      <w:sz w:val="24"/>
      <w:szCs w:val="24"/>
      <w:lang w:eastAsia="en-US"/>
    </w:r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Saját tőke (ezerFt)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93779</c:v>
                </c:pt>
                <c:pt idx="1">
                  <c:v>98361</c:v>
                </c:pt>
                <c:pt idx="2">
                  <c:v>103517</c:v>
                </c:pt>
                <c:pt idx="3">
                  <c:v>110573</c:v>
                </c:pt>
                <c:pt idx="4">
                  <c:v>136748</c:v>
                </c:pt>
                <c:pt idx="5">
                  <c:v>155372</c:v>
                </c:pt>
                <c:pt idx="6">
                  <c:v>131846</c:v>
                </c:pt>
                <c:pt idx="7">
                  <c:v>145956</c:v>
                </c:pt>
                <c:pt idx="8">
                  <c:v>159240</c:v>
                </c:pt>
                <c:pt idx="9">
                  <c:v>179773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Értékesítés nettó árbevétele (ezerFt)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121639</c:v>
                </c:pt>
                <c:pt idx="1">
                  <c:v>229181</c:v>
                </c:pt>
                <c:pt idx="2">
                  <c:v>231630</c:v>
                </c:pt>
                <c:pt idx="3">
                  <c:v>244616</c:v>
                </c:pt>
                <c:pt idx="4">
                  <c:v>285246</c:v>
                </c:pt>
                <c:pt idx="5">
                  <c:v>273831</c:v>
                </c:pt>
                <c:pt idx="6">
                  <c:v>313509</c:v>
                </c:pt>
                <c:pt idx="7">
                  <c:v>219611</c:v>
                </c:pt>
                <c:pt idx="8">
                  <c:v>266739</c:v>
                </c:pt>
                <c:pt idx="9">
                  <c:v>242502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0266208"/>
        <c:axId val="-90240640"/>
      </c:barChart>
      <c:lineChart>
        <c:grouping val="standard"/>
        <c:varyColors val="0"/>
        <c:ser>
          <c:idx val="2"/>
          <c:order val="2"/>
          <c:tx>
            <c:strRef>
              <c:f>label 2</c:f>
              <c:strCache>
                <c:ptCount val="1"/>
                <c:pt idx="0">
                  <c:v>Foglalkoztatottak létszáma (fő)</c:v>
                </c:pt>
              </c:strCache>
            </c:strRef>
          </c:tx>
          <c:spPr>
            <a:ln w="25200">
              <a:solidFill>
                <a:srgbClr val="99CC00"/>
              </a:solidFill>
              <a:round/>
            </a:ln>
          </c:spPr>
          <c:marker>
            <c:symbol val="triangle"/>
            <c:size val="6"/>
            <c:spPr>
              <a:solidFill>
                <a:srgbClr val="99CC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37</c:v>
                </c:pt>
                <c:pt idx="1">
                  <c:v>34</c:v>
                </c:pt>
                <c:pt idx="2">
                  <c:v>32</c:v>
                </c:pt>
                <c:pt idx="3">
                  <c:v>32</c:v>
                </c:pt>
                <c:pt idx="4">
                  <c:v>30</c:v>
                </c:pt>
                <c:pt idx="5">
                  <c:v>30</c:v>
                </c:pt>
                <c:pt idx="6">
                  <c:v>31</c:v>
                </c:pt>
                <c:pt idx="7">
                  <c:v>31</c:v>
                </c:pt>
                <c:pt idx="8">
                  <c:v>31</c:v>
                </c:pt>
                <c:pt idx="9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-90246080"/>
        <c:axId val="-90257504"/>
      </c:lineChart>
      <c:catAx>
        <c:axId val="-9026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-90240640"/>
        <c:crosses val="autoZero"/>
        <c:auto val="1"/>
        <c:lblAlgn val="ctr"/>
        <c:lblOffset val="100"/>
        <c:noMultiLvlLbl val="1"/>
      </c:catAx>
      <c:valAx>
        <c:axId val="-90240640"/>
        <c:scaling>
          <c:orientation val="minMax"/>
        </c:scaling>
        <c:delete val="0"/>
        <c:axPos val="l"/>
        <c:majorGridlines>
          <c:spPr>
            <a:ln w="9360">
              <a:solidFill>
                <a:srgbClr val="808080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1" strike="noStrike" spc="-1">
                    <a:solidFill>
                      <a:srgbClr val="000000"/>
                    </a:solidFill>
                    <a:latin typeface="Calibri"/>
                  </a:rPr>
                  <a:t>ezer forint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-90266208"/>
        <c:crossesAt val="1"/>
        <c:crossBetween val="between"/>
      </c:valAx>
      <c:catAx>
        <c:axId val="-90246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90257504"/>
        <c:crosses val="autoZero"/>
        <c:auto val="1"/>
        <c:lblAlgn val="ctr"/>
        <c:lblOffset val="100"/>
        <c:noMultiLvlLbl val="1"/>
      </c:catAx>
      <c:valAx>
        <c:axId val="-90257504"/>
        <c:scaling>
          <c:orientation val="minMax"/>
        </c:scaling>
        <c:delete val="0"/>
        <c:axPos val="r"/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1" strike="noStrike" spc="-1">
                    <a:solidFill>
                      <a:srgbClr val="000000"/>
                    </a:solidFill>
                    <a:latin typeface="Calibri"/>
                  </a:rPr>
                  <a:t>Létszám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-90246080"/>
        <c:crosses val="max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5937500000000004"/>
          <c:y val="0.40833333333333299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solidFill>
        <a:srgbClr val="808080"/>
      </a:solidFill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subject/>
  <dc:creator>Polgármesteri Hivatal</dc:creator>
  <dc:description/>
  <cp:lastModifiedBy>Péter Gárdonyi</cp:lastModifiedBy>
  <cp:revision>2</cp:revision>
  <cp:lastPrinted>2018-05-22T11:15:00Z</cp:lastPrinted>
  <dcterms:created xsi:type="dcterms:W3CDTF">2018-05-23T12:33:00Z</dcterms:created>
  <dcterms:modified xsi:type="dcterms:W3CDTF">2018-05-23T12:33:00Z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Kiskőrös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