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19" w:rsidRDefault="00060F19" w:rsidP="003506DB">
      <w:pPr>
        <w:widowControl/>
        <w:spacing w:after="0"/>
        <w:jc w:val="left"/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</w:pPr>
      <w:bookmarkStart w:id="0" w:name="_Toc462331244"/>
    </w:p>
    <w:p w:rsidR="003506DB" w:rsidRPr="00CC6A55" w:rsidRDefault="003506DB" w:rsidP="003506DB">
      <w:pPr>
        <w:widowControl/>
        <w:spacing w:after="0"/>
        <w:jc w:val="left"/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  <w:t>KISKŐRÖS VÁROS POLGÁRMESTERE</w:t>
      </w:r>
    </w:p>
    <w:p w:rsidR="003506DB" w:rsidRPr="00CC6A55" w:rsidRDefault="003506DB" w:rsidP="003506DB">
      <w:pPr>
        <w:widowControl/>
        <w:spacing w:after="0"/>
        <w:jc w:val="left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jc w:val="left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3506DB" w:rsidRPr="00CC6A55" w:rsidRDefault="003506DB" w:rsidP="003506DB">
      <w:pPr>
        <w:keepNext/>
        <w:widowControl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  <w:t>ELŐTERJESZTÉS</w:t>
      </w:r>
    </w:p>
    <w:p w:rsidR="003506DB" w:rsidRPr="00CC6A55" w:rsidRDefault="003506DB" w:rsidP="003506DB">
      <w:pPr>
        <w:widowControl/>
        <w:spacing w:after="0"/>
        <w:jc w:val="center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(a Képviselő-testület 201</w:t>
      </w:r>
      <w:r w:rsidR="00A20004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8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. </w:t>
      </w:r>
      <w:r w:rsidR="00484C91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február </w:t>
      </w:r>
      <w:r w:rsidR="00A20004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14-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i ülésére)</w:t>
      </w: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keepNext/>
        <w:widowControl/>
        <w:spacing w:after="0"/>
        <w:ind w:left="1134" w:hanging="1134"/>
        <w:outlineLvl w:val="1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u w:val="single"/>
          <w:lang w:eastAsia="hu-HU"/>
        </w:rPr>
        <w:t>TÁRGY: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ab/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KISKŐRÖS VÁROS TELEPÜLÉSRENDEZÉSI TERVÉNEK (SZABÁLYOZÁSI TERV, HELYI ÉPÍTÉSI SZABÁLYZAT) </w:t>
      </w:r>
      <w:r w:rsidR="00F43A7A"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>MÓDOSÍTÁSA</w:t>
      </w:r>
    </w:p>
    <w:p w:rsidR="003506DB" w:rsidRPr="00CC6A55" w:rsidRDefault="003506DB" w:rsidP="003506DB">
      <w:pPr>
        <w:widowControl/>
        <w:spacing w:after="0"/>
        <w:jc w:val="left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jc w:val="left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 Képviselő-testület a 2015. szeptember 10-én megtartott ülésén Kiskőrös Város Helyi Építési Szabályzatáról és Szabályozási Tervéről szóló 15/2005. (VII. 28.) önk. rendelet felülvizsgálata eredményeként megalkotta Kiskőrös Város Helyi Építési Szabályzatáról és Szabályozási Tervéről szóló 18/2015. (IX. 10.) önk. rendeletét (továbbiakban együtt: Rendezési terv). 134/2016. számú Képviselő-testületi határozatával döntött a Rendezési terv módosításának kezdeményezéséről, amely határozatát 151/2016. számú és 124/2017 számú határozataival módosította.</w:t>
      </w: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A partnerségi egyeztetés szabályai, valamint a településfejlesztési koncepcióról, az integrált településfejlesztési stratégiáról és a településrendezési eszközökről, valamint egyes településrendezési sajátos jogintézményekről szóló 314/2012. (XI.8.) Korm. rendelet (továbbiakban: Rendelet) 36. §. szerinti teljes eljárás megindításra került és a 124/2017. sz. Képv. test. hat. melléklete szerinti munkaanyag a Rendelet 37. §-a szerinti előzetes tájékoztatási szakasz megindításra került. Az előzetes tájékoztatás során beérkezett véleményeknek megfelelően a munkaanyag átdolgozásra került és Rendelet 38. §-ának megfelelően a véleményezési szakasz megindításra került.  </w:t>
      </w: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 képviselő testület 1/2018. sz. határozatával a teljes eljárás véleményezési szakaszát lezárta. Az véleményezési eljárás lezárása után a dokumentáció a végső szakmai véleményezés céljából megküldésre került az állami főépítészi hatáskörében eljáró Bács-Kiskun Megyei Kormányhivatal Állami Főépítésze (6000 Kecskemét, Deák Ferenc tér 3.) részére.</w:t>
      </w: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 Bács-Kiskun Megyei Kormányhivatal Hatósági Főosztály BKB/001/942-4/2018. számú záró véleménye egyetértő, a módosítást jogszerűnek ítélte meg és javasolja annak képvisel</w:t>
      </w:r>
      <w:r w:rsidR="008C527F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ő-testület általi jóváhagyását </w:t>
      </w:r>
    </w:p>
    <w:p w:rsidR="0099497C" w:rsidRPr="00CC6A55" w:rsidRDefault="0099497C" w:rsidP="0099497C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A rendelet-tervezet az </w:t>
      </w:r>
      <w:r w:rsidR="00815E02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helyi építési szabályzat módosítását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tart</w:t>
      </w:r>
      <w:r w:rsidR="00815E02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almazza, illetőleg mellékletként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a</w:t>
      </w:r>
      <w:r w:rsidR="00815E02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módosított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szabályozási tervlapokat. </w:t>
      </w:r>
      <w:r w:rsidR="00F21A4A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 dokumentumok megtekinthetők a www.kiskoros.hu honlapon és a Kiskőrösi Polgármesteri Hivatal 14. számú irodájában</w:t>
      </w:r>
    </w:p>
    <w:p w:rsidR="003506DB" w:rsidRPr="00CC6A55" w:rsidRDefault="003506DB" w:rsidP="003506DB">
      <w:pPr>
        <w:widowControl/>
        <w:tabs>
          <w:tab w:val="left" w:pos="284"/>
          <w:tab w:val="left" w:pos="1134"/>
          <w:tab w:val="left" w:pos="5670"/>
        </w:tabs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tabs>
          <w:tab w:val="left" w:pos="284"/>
          <w:tab w:val="left" w:pos="1134"/>
          <w:tab w:val="left" w:pos="5670"/>
        </w:tabs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A fentiek alapján javasolom, hogy a Képviselő-testület Kiskőrös Város Helyi építési szabályzatát és Szabályozási tervé</w:t>
      </w:r>
      <w:r w:rsidR="00C31FE3"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>nek módosítását</w:t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a rendelet-tervezetnek megfelelően fogadja el.</w:t>
      </w:r>
    </w:p>
    <w:p w:rsidR="003506DB" w:rsidRPr="00CC6A55" w:rsidRDefault="003506DB" w:rsidP="003506DB">
      <w:pPr>
        <w:widowControl/>
        <w:tabs>
          <w:tab w:val="left" w:pos="284"/>
          <w:tab w:val="left" w:pos="1134"/>
          <w:tab w:val="left" w:pos="5670"/>
        </w:tabs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18213F" w:rsidRPr="00CC6A55" w:rsidRDefault="0018213F" w:rsidP="003506DB">
      <w:pPr>
        <w:widowControl/>
        <w:tabs>
          <w:tab w:val="left" w:pos="7313"/>
          <w:tab w:val="right" w:pos="9920"/>
        </w:tabs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tabs>
          <w:tab w:val="left" w:pos="7313"/>
          <w:tab w:val="right" w:pos="9920"/>
        </w:tabs>
        <w:spacing w:after="0"/>
        <w:rPr>
          <w:rFonts w:ascii="Times New Roman" w:eastAsia="Times New Roman" w:hAnsi="Times New Roman" w:cs="Times New Roman"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ab/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ab/>
      </w:r>
    </w:p>
    <w:p w:rsidR="003506DB" w:rsidRPr="00CC6A55" w:rsidRDefault="003506DB" w:rsidP="003506DB">
      <w:pPr>
        <w:widowControl/>
        <w:tabs>
          <w:tab w:val="left" w:pos="284"/>
          <w:tab w:val="left" w:pos="1134"/>
          <w:tab w:val="left" w:pos="5670"/>
        </w:tabs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>Kiskőrös, 201</w:t>
      </w:r>
      <w:r w:rsidR="007313AF"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>8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. </w:t>
      </w:r>
      <w:r w:rsidR="002665D2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>február 9</w:t>
      </w:r>
      <w:r w:rsidR="007313AF"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>.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 </w:t>
      </w: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                                                                                                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  <w:t xml:space="preserve"> 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  <w:t xml:space="preserve">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  <w:t xml:space="preserve">  Domonyi László sk.</w:t>
      </w: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                                                                                                    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</w:r>
      <w:r w:rsidRPr="00CC6A55">
        <w:rPr>
          <w:rFonts w:ascii="Times New Roman" w:eastAsia="Times New Roman" w:hAnsi="Times New Roman" w:cs="Times New Roman"/>
          <w:spacing w:val="0"/>
          <w:w w:val="100"/>
          <w:lang w:eastAsia="hu-HU"/>
        </w:rPr>
        <w:t xml:space="preserve">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 xml:space="preserve">   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  <w:t xml:space="preserve">      </w:t>
      </w:r>
      <w:r w:rsidRPr="00CC6A55"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  <w:tab/>
        <w:t xml:space="preserve">      polgármester </w:t>
      </w: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3506DB" w:rsidRPr="00CC6A55" w:rsidRDefault="003506DB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</w:p>
    <w:p w:rsidR="0018213F" w:rsidRPr="00CC6A55" w:rsidRDefault="0018213F" w:rsidP="00A86E26">
      <w:pPr>
        <w:rPr>
          <w:rFonts w:ascii="Times New Roman" w:hAnsi="Times New Roman" w:cs="Times New Roman"/>
          <w:b/>
          <w:spacing w:val="0"/>
          <w:w w:val="100"/>
        </w:rPr>
      </w:pPr>
    </w:p>
    <w:p w:rsidR="00054C58" w:rsidRDefault="0018213F" w:rsidP="0018213F">
      <w:pPr>
        <w:jc w:val="center"/>
        <w:rPr>
          <w:rFonts w:ascii="Times New Roman félkövér" w:hAnsi="Times New Roman félkövér" w:cs="Times New Roman"/>
          <w:b/>
          <w:caps/>
        </w:rPr>
      </w:pPr>
      <w:r w:rsidRPr="002665D2">
        <w:rPr>
          <w:rFonts w:ascii="Times New Roman félkövér" w:hAnsi="Times New Roman félkövér" w:cs="Times New Roman"/>
          <w:b/>
          <w:caps/>
        </w:rPr>
        <w:t>Kiskőrös Város Önkormányzata</w:t>
      </w:r>
    </w:p>
    <w:p w:rsidR="002665D2" w:rsidRDefault="0018213F" w:rsidP="0018213F">
      <w:pPr>
        <w:jc w:val="center"/>
        <w:rPr>
          <w:rFonts w:ascii="Times New Roman" w:hAnsi="Times New Roman" w:cs="Times New Roman"/>
          <w:b/>
        </w:rPr>
      </w:pPr>
      <w:r w:rsidRPr="002665D2">
        <w:rPr>
          <w:rFonts w:ascii="Times New Roman félkövér" w:hAnsi="Times New Roman félkövér" w:cs="Times New Roman"/>
          <w:b/>
          <w:caps/>
        </w:rPr>
        <w:t xml:space="preserve"> Képviselő-testületének</w:t>
      </w:r>
      <w:r w:rsidRPr="00CC6A55">
        <w:rPr>
          <w:rFonts w:ascii="Times New Roman" w:hAnsi="Times New Roman" w:cs="Times New Roman"/>
          <w:b/>
        </w:rPr>
        <w:t xml:space="preserve"> </w:t>
      </w:r>
    </w:p>
    <w:p w:rsidR="00A86E26" w:rsidRDefault="0018213F" w:rsidP="00A86E26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 xml:space="preserve"> .</w:t>
      </w:r>
      <w:r w:rsidR="00500496">
        <w:rPr>
          <w:rFonts w:ascii="Times New Roman" w:hAnsi="Times New Roman" w:cs="Times New Roman"/>
          <w:b/>
        </w:rPr>
        <w:t>../2018. (..</w:t>
      </w:r>
      <w:r w:rsidRPr="00CC6A55">
        <w:rPr>
          <w:rFonts w:ascii="Times New Roman" w:hAnsi="Times New Roman" w:cs="Times New Roman"/>
          <w:b/>
        </w:rPr>
        <w:t>.) önkormányzati</w:t>
      </w:r>
      <w:r w:rsidR="00A86E26">
        <w:rPr>
          <w:rFonts w:ascii="Times New Roman" w:hAnsi="Times New Roman" w:cs="Times New Roman"/>
          <w:b/>
        </w:rPr>
        <w:t xml:space="preserve"> </w:t>
      </w:r>
      <w:r w:rsidRPr="00CC6A55">
        <w:rPr>
          <w:rFonts w:ascii="Times New Roman" w:hAnsi="Times New Roman" w:cs="Times New Roman"/>
          <w:b/>
        </w:rPr>
        <w:t>rendelete</w:t>
      </w:r>
    </w:p>
    <w:p w:rsidR="0018213F" w:rsidRPr="00CC6A55" w:rsidRDefault="0018213F" w:rsidP="00A86E26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 xml:space="preserve"> Kiskőrös Város Helyi Építési Szabályzatáról és Szabályozási Tervéről szóló 18/2015. (IX.10.) önkormányzati rendelet módosításáról</w:t>
      </w:r>
    </w:p>
    <w:p w:rsidR="009A2125" w:rsidRPr="00CC6A55" w:rsidRDefault="009A2125" w:rsidP="0018213F">
      <w:pPr>
        <w:jc w:val="center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(tervezet)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Kiskőrös Város Önkormányzatának Képviselő-testülete az épített környezet alakításáról és védelméről szóló 1997. évi LXXVIII. törvény 62. § (6) bekezdés 6. pontjában kapott felhatalmazás alapján, az Alaptörvény 32. cikk (1) bekezdés a) pontjában, a Magyarország helyi önkormányzatairól szóló 2011. évi CLXXXIX. törvény 13. § (1) bekezdés 1. pontjában és az épített környezet alakításáról és védelméről szóló 1997. évi LXXVIII. törvény 6.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38. § (2) bekezdés a-c) pontjaiban biztosított véleményezési jogkörben eljáró szervek, Kiskőrös Város Önkormányzata Képviselő-testületének az önkormányzat szervezeti és működési szabályzatáról szóló 24/2013. (XII.19.) önkormányzati rendelete 30. § (5) bekezdésének d) pontjában biztosított véleményezési jogkörben eljáró bizottságok, valamint a partnerek véleményének kikérésével és a partnerségi egyeztetés szabályainak megfelelően a következőket rendeli el: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1. §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(1) Kiskőrös város helyi építési szabályzatáról és szabályozási tervéről szóló 18/2015. (IX. 10.) rendeletének (továbbiakban: Rendelet) 26. § (4) bekezdésének helyébe a következő rendelkezés lép:</w:t>
      </w:r>
    </w:p>
    <w:p w:rsidR="0018213F" w:rsidRPr="00CC6A55" w:rsidRDefault="0018213F" w:rsidP="0018213F">
      <w:pPr>
        <w:tabs>
          <w:tab w:val="left" w:pos="0"/>
        </w:tabs>
        <w:suppressAutoHyphens/>
        <w:spacing w:before="240" w:line="276" w:lineRule="auto"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 xml:space="preserve"> „(4) Az építési övezetben az egyes telkek kialakíthatóságának és beépíthetőségének paraméterei a következők:</w:t>
      </w:r>
    </w:p>
    <w:tbl>
      <w:tblPr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1620"/>
        <w:gridCol w:w="1620"/>
        <w:gridCol w:w="1830"/>
        <w:gridCol w:w="2268"/>
      </w:tblGrid>
      <w:tr w:rsidR="0018213F" w:rsidRPr="00CC6A55" w:rsidTr="000C4501">
        <w:trPr>
          <w:trHeight w:val="380"/>
        </w:trPr>
        <w:tc>
          <w:tcPr>
            <w:tcW w:w="9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AZ ÉPÍTÉSI TELEK</w:t>
            </w:r>
          </w:p>
        </w:tc>
      </w:tr>
      <w:tr w:rsidR="0018213F" w:rsidRPr="00CC6A55" w:rsidTr="000C4501">
        <w:trPr>
          <w:cantSplit/>
          <w:trHeight w:val="701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övezeti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Jele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beépítési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módja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legkisebb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kialakítható területe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</w:rPr>
              <w:t>m</w:t>
            </w: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legnagyobb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beépítettsége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minimális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zöldfelületi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aránya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épületének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legnagyobb épületmagassága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(m)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Lk-1.1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3,6 ( 3,6-4,5)</w:t>
            </w:r>
            <w:r w:rsidRPr="00CC6A55">
              <w:rPr>
                <w:rFonts w:ascii="Times New Roman" w:hAnsi="Times New Roman" w:cs="Times New Roman"/>
                <w:vertAlign w:val="superscript"/>
              </w:rPr>
              <w:t>I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Lk-1.2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3,6-4,5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Lk-1.3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4,5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Lk-1.4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6,0</w:t>
            </w:r>
          </w:p>
        </w:tc>
      </w:tr>
      <w:tr w:rsidR="0018213F" w:rsidRPr="00CC6A55" w:rsidTr="000C4501">
        <w:trPr>
          <w:cantSplit/>
          <w:trHeight w:val="21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Lk-1.5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5,5-7,5</w:t>
            </w:r>
          </w:p>
        </w:tc>
      </w:tr>
      <w:tr w:rsidR="0018213F" w:rsidRPr="00CC6A55" w:rsidTr="000C4501">
        <w:trPr>
          <w:cantSplit/>
          <w:trHeight w:val="232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Lk-2.1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5,5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Lk-2.2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5,5-7,5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5,5-7,5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Lk-3.1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4,5-5,0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Lk-3.2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55">
              <w:rPr>
                <w:rFonts w:ascii="Times New Roman" w:hAnsi="Times New Roman" w:cs="Times New Roman"/>
                <w:b/>
                <w:i/>
              </w:rPr>
              <w:t>4,5-7,5</w:t>
            </w:r>
          </w:p>
        </w:tc>
      </w:tr>
    </w:tbl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  <w:vertAlign w:val="superscript"/>
        </w:rPr>
        <w:t>I</w:t>
      </w:r>
      <w:r w:rsidRPr="00CC6A55">
        <w:rPr>
          <w:rFonts w:ascii="Times New Roman" w:hAnsi="Times New Roman" w:cs="Times New Roman"/>
        </w:rPr>
        <w:t>- lásd (16) bekezdés szerint</w:t>
      </w:r>
    </w:p>
    <w:p w:rsidR="0018213F" w:rsidRPr="00CC6A55" w:rsidRDefault="0018213F" w:rsidP="0018213F">
      <w:pPr>
        <w:tabs>
          <w:tab w:val="left" w:pos="0"/>
        </w:tabs>
        <w:suppressAutoHyphens/>
        <w:spacing w:line="276" w:lineRule="auto"/>
        <w:ind w:left="142" w:right="5" w:hanging="142"/>
        <w:rPr>
          <w:rFonts w:ascii="Times New Roman" w:hAnsi="Times New Roman" w:cs="Times New Roman"/>
          <w:i/>
          <w:strike/>
        </w:rPr>
      </w:pPr>
      <w:r w:rsidRPr="00CC6A55">
        <w:rPr>
          <w:rFonts w:ascii="Times New Roman" w:hAnsi="Times New Roman" w:cs="Times New Roman"/>
        </w:rPr>
        <w:t>SZ – szabadon álló, O – oldalhatáron álló, Z– zártsorú”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(2) A Rendelet 26. § (16)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„(16) Az Lk-1.1 övezetben a József Attila utca 4091 hrsz-ú szakaszára, valamint a Klapka utca teljes hosszára, a Petőfi utcára, a Segesvári utcára</w:t>
      </w:r>
      <w:r w:rsidRPr="00CC6A55">
        <w:rPr>
          <w:rFonts w:ascii="Times New Roman" w:hAnsi="Times New Roman" w:cs="Times New Roman"/>
          <w:b/>
        </w:rPr>
        <w:t>,</w:t>
      </w:r>
      <w:r w:rsidRPr="00CC6A55">
        <w:rPr>
          <w:rFonts w:ascii="Times New Roman" w:hAnsi="Times New Roman" w:cs="Times New Roman"/>
        </w:rPr>
        <w:t xml:space="preserve"> Temető utcára, a Rákóczi utcára, az Alkotmány utcára és a Tompa utcára néző telkeken a fő rendeltetésű épület maximális épületmagassága 4,5 méter.”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A67EA1" w:rsidRPr="00CC6A55" w:rsidRDefault="00A67EA1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lastRenderedPageBreak/>
        <w:t>2. §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(1) A Rendelet 29. § (4) bekezdésének helyébe a következő rendelkezés lép: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166"/>
        <w:gridCol w:w="1496"/>
        <w:gridCol w:w="1521"/>
        <w:gridCol w:w="1823"/>
        <w:gridCol w:w="2534"/>
        <w:gridCol w:w="160"/>
        <w:gridCol w:w="425"/>
      </w:tblGrid>
      <w:tr w:rsidR="0018213F" w:rsidRPr="00CC6A55" w:rsidTr="000C4501">
        <w:tc>
          <w:tcPr>
            <w:tcW w:w="9923" w:type="dxa"/>
            <w:gridSpan w:val="8"/>
          </w:tcPr>
          <w:p w:rsidR="0018213F" w:rsidRPr="00CC6A55" w:rsidRDefault="0018213F" w:rsidP="000C4501">
            <w:pPr>
              <w:tabs>
                <w:tab w:val="left" w:pos="851"/>
              </w:tabs>
              <w:suppressAutoHyphens/>
              <w:spacing w:after="0"/>
              <w:ind w:right="5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CC6A55">
              <w:rPr>
                <w:rFonts w:ascii="Times New Roman" w:hAnsi="Times New Roman" w:cs="Times New Roman"/>
              </w:rPr>
              <w:t>„(4) Az építési övezetben az egyes telkek kialakíthatóságának és beépíthetőségének paraméterei a következők:</w:t>
            </w:r>
          </w:p>
        </w:tc>
      </w:tr>
      <w:tr w:rsidR="0018213F" w:rsidRPr="00CC6A55" w:rsidTr="000C4501">
        <w:trPr>
          <w:trHeight w:val="400"/>
        </w:trPr>
        <w:tc>
          <w:tcPr>
            <w:tcW w:w="9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AZ ÉPÍTÉSI TELEK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701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övezeti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Jele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beépítési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módja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legkisebb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kialakítható területe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</w:rPr>
              <w:t>m</w:t>
            </w: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  <w:vertAlign w:val="superscript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legnagyobb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beépítettsége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minimális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zöldfelületi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aránya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épületének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legkisebb-legnagyobb épületmagassága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(m)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Vt-1.1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6,0-7,5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Vt-1.2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3,6-5,0 (4,5-5,5</w:t>
            </w:r>
            <w:r w:rsidRPr="00CC6A55">
              <w:rPr>
                <w:rFonts w:ascii="Times New Roman" w:hAnsi="Times New Roman" w:cs="Times New Roman"/>
                <w:vertAlign w:val="superscript"/>
              </w:rPr>
              <w:t>(I)</w:t>
            </w:r>
            <w:r w:rsidRPr="00CC6A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Vt-1.3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 (Z+)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</w:rPr>
              <w:t>6,0-9,0</w:t>
            </w:r>
            <w:r w:rsidRPr="00CC6A55">
              <w:rPr>
                <w:rFonts w:ascii="Times New Roman" w:hAnsi="Times New Roman" w:cs="Times New Roman"/>
                <w:b/>
              </w:rPr>
              <w:t xml:space="preserve"> (12+)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Vt-1.4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60(K)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10(K)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7,5-10,0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Vt-2.1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5,0-7,5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6,0-9,0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Vt-2.3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  <w:b/>
              </w:rPr>
              <w:t>4,5</w:t>
            </w:r>
            <w:r w:rsidRPr="00CC6A55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Vt-2.4</w:t>
            </w:r>
            <w:r w:rsidRPr="00CC6A55">
              <w:rPr>
                <w:rFonts w:ascii="Times New Roman" w:hAnsi="Times New Roman" w:cs="Times New Roman"/>
                <w:vertAlign w:val="superscript"/>
              </w:rPr>
              <w:t>(II)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7,5-12,5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4,5-10,0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Vt-2.6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3,6-7,5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Vt-2.7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Vt-2.8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4,5-10,0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21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Vt-3.1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7,5-10,0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210"/>
        </w:trPr>
        <w:tc>
          <w:tcPr>
            <w:tcW w:w="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Vt-3.2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3,6-4,5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Vt-4.1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Kt</w:t>
            </w:r>
            <w:r w:rsidRPr="00CC6A55">
              <w:rPr>
                <w:rFonts w:ascii="Times New Roman" w:hAnsi="Times New Roman" w:cs="Times New Roman"/>
                <w:vertAlign w:val="superscript"/>
              </w:rPr>
              <w:t>(III)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8213F" w:rsidRPr="00CC6A55" w:rsidTr="000C4501">
        <w:trPr>
          <w:cantSplit/>
          <w:trHeight w:val="320"/>
        </w:trPr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Vt-4.2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0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18213F" w:rsidRPr="00CC6A55" w:rsidRDefault="0018213F" w:rsidP="000C4501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  <w:vertAlign w:val="superscript"/>
        </w:rPr>
        <w:t xml:space="preserve">I  </w:t>
      </w:r>
      <w:r w:rsidRPr="00CC6A55">
        <w:rPr>
          <w:rFonts w:ascii="Times New Roman" w:hAnsi="Times New Roman" w:cs="Times New Roman"/>
        </w:rPr>
        <w:t xml:space="preserve">a Petőfi utcára, a Piac térre és a Bajcsy-Zsilinszky utcára néző telkek esetén legkisebb-legnagyobb 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épületmagasság: 4,5-5,5 m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  <w:vertAlign w:val="superscript"/>
        </w:rPr>
        <w:t xml:space="preserve">II  </w:t>
      </w:r>
      <w:r w:rsidRPr="00CC6A55">
        <w:rPr>
          <w:rFonts w:ascii="Times New Roman" w:hAnsi="Times New Roman" w:cs="Times New Roman"/>
        </w:rPr>
        <w:t>Lásd még (14) bekezdést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  <w:vertAlign w:val="superscript"/>
        </w:rPr>
        <w:t xml:space="preserve">III </w:t>
      </w:r>
      <w:r w:rsidRPr="00CC6A55">
        <w:rPr>
          <w:rFonts w:ascii="Times New Roman" w:hAnsi="Times New Roman" w:cs="Times New Roman"/>
        </w:rPr>
        <w:t>Kt : Kialakult telepszerű beépítési mód,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K: kialakult beépítés, telekterület és zöldfelület.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SZ – szabadon álló, O – oldalhatáron álló, Z – zártsorú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  <w:b/>
        </w:rPr>
        <w:t>+</w:t>
      </w:r>
      <w:r w:rsidRPr="00CC6A55">
        <w:rPr>
          <w:rFonts w:ascii="Times New Roman" w:hAnsi="Times New Roman" w:cs="Times New Roman"/>
        </w:rPr>
        <w:t xml:space="preserve"> – technológiailag indokolt esetben közhasználatú (iskola, sport stb.) intézmény és kiszolgáló létesítményei elhelyezésekor alkalmazható”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(2) A Rendelet 29. § (24)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</w:rPr>
        <w:t xml:space="preserve">„(24) Az Erdőtelki utca-Dózsa György út menti Vt-2.3 övezetbe sorolt telkek területén új épület vagy épületszárny, bővítmény legalább </w:t>
      </w:r>
      <w:r w:rsidRPr="00CC6A55">
        <w:rPr>
          <w:rFonts w:ascii="Times New Roman" w:hAnsi="Times New Roman" w:cs="Times New Roman"/>
          <w:b/>
        </w:rPr>
        <w:t>5,0</w:t>
      </w:r>
      <w:r w:rsidRPr="00CC6A55">
        <w:rPr>
          <w:rFonts w:ascii="Times New Roman" w:hAnsi="Times New Roman" w:cs="Times New Roman"/>
        </w:rPr>
        <w:t xml:space="preserve"> méteres előkert biztosításával helyezhető el. Az előkertben melléképítmény nem helyezhető el.”</w:t>
      </w:r>
    </w:p>
    <w:p w:rsidR="0018213F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A40F39" w:rsidRPr="00CC6A55" w:rsidRDefault="00A40F39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3. §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31. § (4) bekezdésének helyébe a következő rendelkezés lép:</w:t>
      </w:r>
    </w:p>
    <w:p w:rsidR="0018213F" w:rsidRPr="00CC6A55" w:rsidRDefault="0018213F" w:rsidP="0018213F">
      <w:pPr>
        <w:tabs>
          <w:tab w:val="left" w:pos="0"/>
        </w:tabs>
        <w:suppressAutoHyphens/>
        <w:spacing w:before="240" w:line="276" w:lineRule="auto"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„(4) Az építési övezetben az egyes telkek kialakíthatóságának és beépíthetőségének paraméterei a következők: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7"/>
        <w:gridCol w:w="1368"/>
        <w:gridCol w:w="1512"/>
        <w:gridCol w:w="1677"/>
        <w:gridCol w:w="1631"/>
        <w:gridCol w:w="2335"/>
      </w:tblGrid>
      <w:tr w:rsidR="0018213F" w:rsidRPr="00CC6A55" w:rsidTr="000C4501">
        <w:trPr>
          <w:trHeight w:val="400"/>
        </w:trPr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AZ ÉPÍTÉSI TELEK</w:t>
            </w:r>
          </w:p>
        </w:tc>
      </w:tr>
      <w:tr w:rsidR="0018213F" w:rsidRPr="00CC6A55" w:rsidTr="000C4501">
        <w:trPr>
          <w:cantSplit/>
          <w:trHeight w:val="959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övezeti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Jele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beépítési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módja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legkisebb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kialakítható területe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</w:rPr>
              <w:t>m</w:t>
            </w: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  <w:vertAlign w:val="superscript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legnagyobb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beépítettsége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minimális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zöldfelületi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aránya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épületének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legnagyobb épületmagassága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(m)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CC6A55">
              <w:rPr>
                <w:rFonts w:ascii="Times New Roman" w:hAnsi="Times New Roman" w:cs="Times New Roman"/>
                <w:spacing w:val="-12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4,5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Gksz-1.3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Gksz-1.4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Gksz-1.5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Gksz-2.1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Gksz-2.2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SZ/Z (K)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</w:tr>
    </w:tbl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SZ – szabadon álló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K – kialakult beépítési mód és telekméret”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4. §</w:t>
      </w:r>
    </w:p>
    <w:p w:rsidR="0018213F" w:rsidRPr="00CC6A55" w:rsidRDefault="0018213F" w:rsidP="0018213F">
      <w:pPr>
        <w:tabs>
          <w:tab w:val="left" w:pos="426"/>
        </w:tabs>
        <w:suppressAutoHyphens/>
        <w:ind w:right="5"/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33. § (4) bekezdésének helyébe a következő rendelkezés lép:</w:t>
      </w:r>
    </w:p>
    <w:p w:rsidR="0018213F" w:rsidRPr="00CC6A55" w:rsidRDefault="0018213F" w:rsidP="0018213F">
      <w:pPr>
        <w:tabs>
          <w:tab w:val="left" w:pos="0"/>
        </w:tabs>
        <w:suppressAutoHyphens/>
        <w:spacing w:before="240" w:line="276" w:lineRule="auto"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„(4) Az építési övezetben az egyes telkek kialakíthatóságának és beépíthetőségének paraméterei a következők: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1560"/>
        <w:gridCol w:w="1701"/>
        <w:gridCol w:w="1559"/>
        <w:gridCol w:w="2268"/>
      </w:tblGrid>
      <w:tr w:rsidR="0018213F" w:rsidRPr="00CC6A55" w:rsidTr="000C4501">
        <w:trPr>
          <w:trHeight w:val="400"/>
        </w:trPr>
        <w:tc>
          <w:tcPr>
            <w:tcW w:w="9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AZ ÉPÍTÉSI TELEK</w:t>
            </w:r>
          </w:p>
        </w:tc>
      </w:tr>
      <w:tr w:rsidR="0018213F" w:rsidRPr="00CC6A55" w:rsidTr="000C4501">
        <w:trPr>
          <w:cantSplit/>
          <w:trHeight w:val="70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övezeti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Jele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beépítési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módja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legkisebb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kialakítható területe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</w:rPr>
              <w:t>m</w:t>
            </w: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legnagyobb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beépítettsége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minimális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zöldfelületi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aránya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épületének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legnagyobb épületmagassága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(m)</w:t>
            </w:r>
          </w:p>
        </w:tc>
      </w:tr>
      <w:tr w:rsidR="0018213F" w:rsidRPr="00CC6A55" w:rsidTr="000C4501">
        <w:trPr>
          <w:cantSplit/>
          <w:trHeight w:val="32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Üü-1.1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7,5</w:t>
            </w:r>
            <w:r w:rsidRPr="00CC6A55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SZ – szabadon álló</w:t>
      </w:r>
    </w:p>
    <w:p w:rsidR="0018213F" w:rsidRPr="00CC6A55" w:rsidRDefault="0018213F" w:rsidP="0018213F">
      <w:pPr>
        <w:tabs>
          <w:tab w:val="left" w:pos="851"/>
        </w:tabs>
        <w:suppressAutoHyphens/>
        <w:ind w:right="5"/>
        <w:jc w:val="left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+ – technológiailag indokolt esetben közhasználatú sportcélú intézmény elhelyezésekor ettől 30%-kal el lehet térni.”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5.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tabs>
          <w:tab w:val="left" w:pos="426"/>
        </w:tabs>
        <w:suppressAutoHyphens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38. § (4) bekezdésének helyébe a következő rendelkezés lép:</w:t>
      </w:r>
    </w:p>
    <w:p w:rsidR="0018213F" w:rsidRPr="00CC6A55" w:rsidRDefault="0018213F" w:rsidP="0018213F">
      <w:pPr>
        <w:tabs>
          <w:tab w:val="left" w:pos="0"/>
        </w:tabs>
        <w:suppressAutoHyphens/>
        <w:spacing w:before="240" w:line="276" w:lineRule="auto"/>
        <w:ind w:right="5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„(4) Az építési övezetben az egyes telkek kialakíthatóságának és beépíthetőségének paraméterei a következők: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1367"/>
        <w:gridCol w:w="1560"/>
        <w:gridCol w:w="1701"/>
        <w:gridCol w:w="1559"/>
        <w:gridCol w:w="2268"/>
      </w:tblGrid>
      <w:tr w:rsidR="0018213F" w:rsidRPr="00CC6A55" w:rsidTr="000C4501">
        <w:trPr>
          <w:trHeight w:val="400"/>
        </w:trPr>
        <w:tc>
          <w:tcPr>
            <w:tcW w:w="9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6A55">
              <w:rPr>
                <w:rFonts w:ascii="Times New Roman" w:hAnsi="Times New Roman" w:cs="Times New Roman"/>
                <w:b/>
              </w:rPr>
              <w:t>AZ ÉPÍTÉSI TELEK</w:t>
            </w:r>
          </w:p>
        </w:tc>
      </w:tr>
      <w:tr w:rsidR="0018213F" w:rsidRPr="00CC6A55" w:rsidTr="000C4501">
        <w:trPr>
          <w:cantSplit/>
          <w:trHeight w:val="9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övezeti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Jele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beépítési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módja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 legkisebb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kialakítható területe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</w:rPr>
              <w:t>m</w:t>
            </w:r>
            <w:r w:rsidRPr="00CC6A55">
              <w:rPr>
                <w:rFonts w:ascii="Times New Roman" w:hAnsi="Times New Roman" w:cs="Times New Roman"/>
                <w:b/>
                <w:snapToGrid w:val="0"/>
                <w:spacing w:val="-1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legnagyobb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beépítettsége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minimális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zöldfelületi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aránya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épületének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 xml:space="preserve">legnagyobb épületmagassága </w:t>
            </w:r>
          </w:p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CC6A55">
              <w:rPr>
                <w:rFonts w:ascii="Times New Roman" w:hAnsi="Times New Roman" w:cs="Times New Roman"/>
                <w:b/>
                <w:spacing w:val="-12"/>
              </w:rPr>
              <w:t>(m)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6A55">
              <w:rPr>
                <w:rFonts w:ascii="Times New Roman" w:hAnsi="Times New Roman" w:cs="Times New Roman"/>
              </w:rPr>
              <w:t>Ksp-1.1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keepNext/>
              <w:keepLines/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5,0</w:t>
            </w:r>
          </w:p>
        </w:tc>
      </w:tr>
      <w:tr w:rsidR="0018213F" w:rsidRPr="00CC6A55" w:rsidTr="000C4501">
        <w:trPr>
          <w:cantSplit/>
          <w:trHeight w:val="31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6A55">
              <w:rPr>
                <w:rFonts w:ascii="Times New Roman" w:hAnsi="Times New Roman" w:cs="Times New Roman"/>
              </w:rPr>
              <w:t>Ksp-1.2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SZ/O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13F" w:rsidRPr="00CC6A55" w:rsidRDefault="0018213F" w:rsidP="000C4501">
            <w:pPr>
              <w:tabs>
                <w:tab w:val="left" w:pos="709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A55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SZ – szabadon álló</w:t>
      </w:r>
    </w:p>
    <w:p w:rsidR="00A40F39" w:rsidRPr="00A40F39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O – oldalhatáron álló”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6.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(1) A Rendelet 46. § (2)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„(2) A Z-0 jellel szabályozott zöldterületen (közkert) épület nem létesíthető. Az övezetben elhelyezhetők a szabadidő eltöltését szolgáló épületnek nem minősülő pihenési, sportolási, játszótéri létesítmények, sétautak, kerékpárút és köztárgyak. A Z-0a övezet területén elhelyezhető továbbá víztározó is.”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(2)</w:t>
      </w:r>
      <w:r w:rsidRPr="00CC6A55">
        <w:rPr>
          <w:rFonts w:ascii="Times New Roman" w:hAnsi="Times New Roman" w:cs="Times New Roman"/>
          <w:i/>
        </w:rPr>
        <w:t xml:space="preserve"> </w:t>
      </w:r>
      <w:r w:rsidRPr="00CC6A55">
        <w:rPr>
          <w:rFonts w:ascii="Times New Roman" w:hAnsi="Times New Roman" w:cs="Times New Roman"/>
        </w:rPr>
        <w:t>A Rendelet 46. § (5)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i/>
        </w:rPr>
        <w:t xml:space="preserve">„(5) </w:t>
      </w:r>
      <w:r w:rsidRPr="00CC6A55">
        <w:rPr>
          <w:rFonts w:ascii="Times New Roman" w:hAnsi="Times New Roman" w:cs="Times New Roman"/>
        </w:rPr>
        <w:t xml:space="preserve">A Z-0 jelű közkert legalább 60%-át, a Z-1 jelű közpark legalább 70%-át biológiailag aktív felületként növényzettel fedetten kell kialakítani, vagy fenntartani. </w:t>
      </w:r>
      <w:r w:rsidRPr="00CC6A55">
        <w:rPr>
          <w:rFonts w:ascii="Times New Roman" w:hAnsi="Times New Roman" w:cs="Times New Roman"/>
          <w:bCs/>
          <w:i/>
        </w:rPr>
        <w:t xml:space="preserve">Kivételt képez ez alól a Z-0a övezeten belül a vízfelület telke, amennyiben a víztározó területe külön telken kerül kialakításra. </w:t>
      </w:r>
      <w:r w:rsidRPr="00CC6A55">
        <w:rPr>
          <w:rFonts w:ascii="Times New Roman" w:hAnsi="Times New Roman" w:cs="Times New Roman"/>
        </w:rPr>
        <w:t>A gyephézagos burkolattal kialakított felületeket a kötelezően előírt zöldfelületi arányba nem lehet beszámítani.”</w:t>
      </w:r>
    </w:p>
    <w:p w:rsidR="0018213F" w:rsidRPr="00CC6A55" w:rsidRDefault="0018213F" w:rsidP="0018213F">
      <w:pPr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7.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48. § (3)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„(3) Mezőgazdasági területen kerítés a külterületi feltáró utak mentén az út tengelyétől legalább 5 m-re létesíthető.”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8.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 xml:space="preserve">(1) A Rendelet 49. § (4) és (5) bekezdéseinek helyébe a következő rendelkezések lépnek: 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„(4) Általános borvidéki mezőgazdasági terület övezeteiben, ha valakinek a tulajdonában vagy egy család tulajdonában a város igazgatási területén több tagban vannak termőföldek, akkor az egyik legalább 10.000 m2 területű telken birtokközpontot létesíthet.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(5) A birtokközpont beépítettsége a beszámított telkek összterületének 10%-a, de legfeljebb a birtokközpont telkének 40%-a lehet”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(2) A Rendelet 49. § (8) bekezdésének helyébe a következő rendelkezés lép: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„(8) Az Máb1 övezet (3) bekezdés szerinti tanyákon és (4) bekezdés szerinti birtokközpontokon kívüli területének beépítési feltételei a következők:</w:t>
      </w:r>
    </w:p>
    <w:p w:rsidR="0018213F" w:rsidRPr="00CC6A55" w:rsidRDefault="0018213F" w:rsidP="0018213F">
      <w:pPr>
        <w:ind w:firstLine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a) 1500 m²-nél kisebb telken épület nem létesíthető;</w:t>
      </w:r>
    </w:p>
    <w:p w:rsidR="0018213F" w:rsidRPr="00CC6A55" w:rsidRDefault="0018213F" w:rsidP="0018213F">
      <w:pPr>
        <w:ind w:firstLine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b) az 1500-3000 m² közötti területű telken csak a növénytermesztés célját szolgáló, legfeljebb 4,5 m</w:t>
      </w:r>
      <w:r w:rsidRPr="00CC6A55">
        <w:rPr>
          <w:rFonts w:ascii="Times New Roman" w:hAnsi="Times New Roman" w:cs="Times New Roman"/>
        </w:rPr>
        <w:tab/>
        <w:t>gerincmagasságú fóliasátor, üvegház és az azokhoz szükséges épületek, továbbá földdel borított pince létesíthető;</w:t>
      </w:r>
    </w:p>
    <w:p w:rsidR="0018213F" w:rsidRPr="00CC6A55" w:rsidRDefault="0018213F" w:rsidP="0018213F">
      <w:pPr>
        <w:ind w:left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c) a 3000-6000 m² területű telken a b) pont szerinti építmények, továbbá szőlő vagy gyümölcsös  művelési ágú telken a szőlőgazdálkodás, borászat, borkereskedelem, borturizmus, gyümölcstermesztés,- tárolás, -feldolgozás építményei továbbá lakóépület létesíthető;</w:t>
      </w:r>
    </w:p>
    <w:p w:rsidR="0018213F" w:rsidRPr="00CC6A55" w:rsidRDefault="0018213F" w:rsidP="0018213F">
      <w:pPr>
        <w:ind w:firstLine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d) a legalább 6000 m² területű telken művelési ágtól függetlenül kialakíthatók az (1)bekezdés szerinti épületek;</w:t>
      </w:r>
    </w:p>
    <w:p w:rsidR="0018213F" w:rsidRPr="00CC6A55" w:rsidRDefault="0018213F" w:rsidP="0018213F">
      <w:pPr>
        <w:ind w:left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 xml:space="preserve">e) az épületek a telek legfeljebb 10 %-os beépítésével szabadonállóan alakíthatók ki, de a lakóépület, </w:t>
      </w:r>
      <w:r w:rsidRPr="00CC6A55">
        <w:rPr>
          <w:rFonts w:ascii="Times New Roman" w:hAnsi="Times New Roman" w:cs="Times New Roman"/>
        </w:rPr>
        <w:tab/>
        <w:t>lakás alapterülete a beépíthetőség felét nem haladhatja meg.”</w:t>
      </w:r>
    </w:p>
    <w:p w:rsidR="0018213F" w:rsidRDefault="0018213F" w:rsidP="0018213F">
      <w:pPr>
        <w:rPr>
          <w:rFonts w:ascii="Times New Roman" w:hAnsi="Times New Roman" w:cs="Times New Roman"/>
        </w:rPr>
      </w:pPr>
    </w:p>
    <w:p w:rsidR="00A40F39" w:rsidRDefault="00A40F39" w:rsidP="0018213F">
      <w:pPr>
        <w:rPr>
          <w:rFonts w:ascii="Times New Roman" w:hAnsi="Times New Roman" w:cs="Times New Roman"/>
        </w:rPr>
      </w:pPr>
    </w:p>
    <w:p w:rsidR="00A40F39" w:rsidRDefault="00A40F39" w:rsidP="0018213F">
      <w:pPr>
        <w:rPr>
          <w:rFonts w:ascii="Times New Roman" w:hAnsi="Times New Roman" w:cs="Times New Roman"/>
        </w:rPr>
      </w:pPr>
    </w:p>
    <w:p w:rsidR="00A40F39" w:rsidRPr="00CC6A55" w:rsidRDefault="00A40F39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9.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spacing w:after="0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50. § (9) bekezdése a következő d) ponttal egészül ki:</w:t>
      </w:r>
    </w:p>
    <w:p w:rsidR="0018213F" w:rsidRPr="00CC6A55" w:rsidRDefault="0018213F" w:rsidP="0018213F">
      <w:pPr>
        <w:spacing w:after="0"/>
        <w:rPr>
          <w:rFonts w:ascii="Times New Roman" w:hAnsi="Times New Roman" w:cs="Times New Roman"/>
        </w:rPr>
      </w:pPr>
    </w:p>
    <w:p w:rsidR="0018213F" w:rsidRPr="00CC6A55" w:rsidRDefault="0018213F" w:rsidP="0018213F">
      <w:pPr>
        <w:spacing w:after="0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„d) az épületek a telek legfeljebb 5%-os beépítésével alakíthatók ki.”</w:t>
      </w:r>
    </w:p>
    <w:p w:rsidR="0018213F" w:rsidRPr="00CC6A55" w:rsidRDefault="0018213F" w:rsidP="0018213F">
      <w:pPr>
        <w:spacing w:after="0"/>
        <w:rPr>
          <w:rFonts w:ascii="Times New Roman" w:hAnsi="Times New Roman" w:cs="Times New Roman"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10.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A Rendelet 1. mellékletét képező SZT-1 és SZT-2 jelű szabályozási terv jelen rendelet mellékletében jelölt tervezési területek szerint módosul.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  <w:r w:rsidRPr="00CC6A55">
        <w:rPr>
          <w:rFonts w:ascii="Times New Roman" w:hAnsi="Times New Roman" w:cs="Times New Roman"/>
          <w:b/>
        </w:rPr>
        <w:t>11. §</w:t>
      </w:r>
    </w:p>
    <w:p w:rsidR="0018213F" w:rsidRPr="00CC6A55" w:rsidRDefault="0018213F" w:rsidP="0018213F">
      <w:pPr>
        <w:jc w:val="center"/>
        <w:rPr>
          <w:rFonts w:ascii="Times New Roman" w:hAnsi="Times New Roman" w:cs="Times New Roman"/>
          <w:b/>
        </w:rPr>
      </w:pP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(1) Ez a rendelet a kihirdetését követő 30. napon lép hatályba.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(2) A rendelet rendelkezéseit a hatályba lépést megelőzően indult folyamatban lévő ügyekben is alkalmazni kell.</w:t>
      </w:r>
    </w:p>
    <w:p w:rsidR="0018213F" w:rsidRPr="00CC6A55" w:rsidRDefault="0018213F" w:rsidP="0018213F">
      <w:pPr>
        <w:rPr>
          <w:rFonts w:ascii="Times New Roman" w:hAnsi="Times New Roman" w:cs="Times New Roman"/>
        </w:rPr>
      </w:pPr>
    </w:p>
    <w:p w:rsidR="0018213F" w:rsidRPr="00CC6A55" w:rsidRDefault="0018213F" w:rsidP="0018213F">
      <w:pPr>
        <w:ind w:left="1416" w:firstLine="708"/>
        <w:rPr>
          <w:rFonts w:ascii="Times New Roman" w:hAnsi="Times New Roman" w:cs="Times New Roman"/>
        </w:rPr>
      </w:pPr>
    </w:p>
    <w:p w:rsidR="0018213F" w:rsidRPr="00CC6A55" w:rsidRDefault="0018213F" w:rsidP="0018213F">
      <w:pPr>
        <w:ind w:left="1416" w:firstLine="708"/>
        <w:rPr>
          <w:rFonts w:ascii="Times New Roman" w:hAnsi="Times New Roman" w:cs="Times New Roman"/>
        </w:rPr>
      </w:pPr>
    </w:p>
    <w:p w:rsidR="0018213F" w:rsidRPr="00CC6A55" w:rsidRDefault="0018213F" w:rsidP="0018213F">
      <w:pPr>
        <w:ind w:left="1416" w:firstLine="708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>Domonyi László</w:t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  <w:t xml:space="preserve">       Dr. Turán Csaba</w:t>
      </w:r>
    </w:p>
    <w:p w:rsidR="0018213F" w:rsidRPr="00CC6A55" w:rsidRDefault="0018213F" w:rsidP="0018213F">
      <w:pPr>
        <w:ind w:left="360"/>
        <w:rPr>
          <w:rFonts w:ascii="Times New Roman" w:hAnsi="Times New Roman" w:cs="Times New Roman"/>
        </w:rPr>
      </w:pP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  <w:t xml:space="preserve"> polgármester</w:t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</w:r>
      <w:r w:rsidRPr="00CC6A55">
        <w:rPr>
          <w:rFonts w:ascii="Times New Roman" w:hAnsi="Times New Roman" w:cs="Times New Roman"/>
        </w:rPr>
        <w:tab/>
        <w:t>jegyző</w:t>
      </w:r>
    </w:p>
    <w:p w:rsidR="0018213F" w:rsidRPr="00CC6A55" w:rsidRDefault="0018213F" w:rsidP="0018213F">
      <w:pPr>
        <w:rPr>
          <w:rFonts w:ascii="Times New Roman" w:hAnsi="Times New Roman" w:cs="Times New Roman"/>
          <w:b/>
          <w:w w:val="100"/>
        </w:rPr>
      </w:pPr>
      <w:bookmarkStart w:id="1" w:name="pr3737"/>
      <w:bookmarkEnd w:id="1"/>
    </w:p>
    <w:p w:rsidR="0018213F" w:rsidRPr="00CC6A55" w:rsidRDefault="0018213F" w:rsidP="0018213F">
      <w:pPr>
        <w:rPr>
          <w:rFonts w:ascii="Times New Roman" w:hAnsi="Times New Roman" w:cs="Times New Roman"/>
          <w:b/>
          <w:w w:val="100"/>
        </w:rPr>
      </w:pPr>
    </w:p>
    <w:p w:rsidR="0018213F" w:rsidRPr="00CC6A55" w:rsidRDefault="0018213F" w:rsidP="0018213F">
      <w:pPr>
        <w:rPr>
          <w:rFonts w:ascii="Times New Roman" w:hAnsi="Times New Roman" w:cs="Times New Roman"/>
          <w:b/>
          <w:w w:val="100"/>
        </w:rPr>
      </w:pPr>
    </w:p>
    <w:p w:rsidR="0018213F" w:rsidRDefault="0018213F" w:rsidP="003506DB">
      <w:pPr>
        <w:widowControl/>
        <w:spacing w:after="0"/>
        <w:rPr>
          <w:rFonts w:ascii="Times New Roman" w:eastAsia="Times New Roman" w:hAnsi="Times New Roman" w:cs="Times New Roman"/>
          <w:b/>
          <w:spacing w:val="0"/>
          <w:w w:val="100"/>
          <w:lang w:eastAsia="hu-HU"/>
        </w:rPr>
      </w:pPr>
      <w:bookmarkStart w:id="2" w:name="_GoBack"/>
      <w:bookmarkEnd w:id="0"/>
      <w:bookmarkEnd w:id="2"/>
    </w:p>
    <w:sectPr w:rsidR="0018213F" w:rsidSect="006728D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A45"/>
    <w:multiLevelType w:val="multilevel"/>
    <w:tmpl w:val="3B92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22280357"/>
    <w:multiLevelType w:val="hybridMultilevel"/>
    <w:tmpl w:val="B9184DAA"/>
    <w:lvl w:ilvl="0" w:tplc="F2FC40AC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8AEFC60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59B4"/>
    <w:multiLevelType w:val="multilevel"/>
    <w:tmpl w:val="40125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9F4BD3"/>
    <w:multiLevelType w:val="multilevel"/>
    <w:tmpl w:val="5B5C5EA6"/>
    <w:lvl w:ilvl="0">
      <w:start w:val="1"/>
      <w:numFmt w:val="upperRoman"/>
      <w:pStyle w:val="Cmsor1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pStyle w:val="Kpfelirat"/>
      <w:lvlText w:val="%2."/>
      <w:lvlJc w:val="left"/>
      <w:pPr>
        <w:ind w:left="1814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suff w:val="space"/>
      <w:lvlText w:val="%1.%3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ablazatfelirat"/>
      <w:suff w:val="space"/>
      <w:lvlText w:val="%1.%4. táblázat:"/>
      <w:lvlJc w:val="left"/>
      <w:pPr>
        <w:ind w:left="1985" w:hanging="171"/>
      </w:pPr>
      <w:rPr>
        <w:rFonts w:ascii="Calibri" w:hAnsi="Calibri" w:hint="default"/>
        <w:b w:val="0"/>
        <w:i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F03D61"/>
    <w:multiLevelType w:val="hybridMultilevel"/>
    <w:tmpl w:val="E1C007B8"/>
    <w:name w:val="WW8Num1222222332222223"/>
    <w:lvl w:ilvl="0" w:tplc="D1E82EEE">
      <w:start w:val="1"/>
      <w:numFmt w:val="decimal"/>
      <w:suff w:val="nothing"/>
      <w:lvlText w:val="(%1)"/>
      <w:lvlJc w:val="left"/>
      <w:pPr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CD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82E18"/>
    <w:multiLevelType w:val="multilevel"/>
    <w:tmpl w:val="14AEC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6" w15:restartNumberingAfterBreak="0">
    <w:nsid w:val="7FDF62E2"/>
    <w:multiLevelType w:val="hybridMultilevel"/>
    <w:tmpl w:val="A13CF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D3"/>
    <w:rsid w:val="00037910"/>
    <w:rsid w:val="00054C58"/>
    <w:rsid w:val="00060F19"/>
    <w:rsid w:val="000C4701"/>
    <w:rsid w:val="000D712D"/>
    <w:rsid w:val="000E0ACE"/>
    <w:rsid w:val="000E1F81"/>
    <w:rsid w:val="0010425A"/>
    <w:rsid w:val="00106215"/>
    <w:rsid w:val="0018213F"/>
    <w:rsid w:val="001A421D"/>
    <w:rsid w:val="001E36E6"/>
    <w:rsid w:val="00201494"/>
    <w:rsid w:val="00245EFF"/>
    <w:rsid w:val="00252579"/>
    <w:rsid w:val="002665D2"/>
    <w:rsid w:val="0029201D"/>
    <w:rsid w:val="002C2280"/>
    <w:rsid w:val="002C4CAB"/>
    <w:rsid w:val="00320555"/>
    <w:rsid w:val="003506DB"/>
    <w:rsid w:val="003C7224"/>
    <w:rsid w:val="00413693"/>
    <w:rsid w:val="00427333"/>
    <w:rsid w:val="00441821"/>
    <w:rsid w:val="0044419C"/>
    <w:rsid w:val="00484C91"/>
    <w:rsid w:val="004D2087"/>
    <w:rsid w:val="004D2D97"/>
    <w:rsid w:val="004D37E1"/>
    <w:rsid w:val="004F1D30"/>
    <w:rsid w:val="00500496"/>
    <w:rsid w:val="0051010D"/>
    <w:rsid w:val="00534AB3"/>
    <w:rsid w:val="00534C4E"/>
    <w:rsid w:val="00572935"/>
    <w:rsid w:val="00575FAA"/>
    <w:rsid w:val="005D3EE6"/>
    <w:rsid w:val="005F218A"/>
    <w:rsid w:val="00633B3D"/>
    <w:rsid w:val="006429B9"/>
    <w:rsid w:val="006728D3"/>
    <w:rsid w:val="00680305"/>
    <w:rsid w:val="006932C5"/>
    <w:rsid w:val="0069710F"/>
    <w:rsid w:val="006C3E36"/>
    <w:rsid w:val="00700A59"/>
    <w:rsid w:val="00712185"/>
    <w:rsid w:val="00715F1E"/>
    <w:rsid w:val="007313AF"/>
    <w:rsid w:val="00735812"/>
    <w:rsid w:val="00757F22"/>
    <w:rsid w:val="00781CFB"/>
    <w:rsid w:val="00795FBE"/>
    <w:rsid w:val="007B5621"/>
    <w:rsid w:val="00815E02"/>
    <w:rsid w:val="00873FBF"/>
    <w:rsid w:val="0087466B"/>
    <w:rsid w:val="00896321"/>
    <w:rsid w:val="008C527F"/>
    <w:rsid w:val="008D156D"/>
    <w:rsid w:val="008F3E15"/>
    <w:rsid w:val="009000D6"/>
    <w:rsid w:val="00910F82"/>
    <w:rsid w:val="00946EB4"/>
    <w:rsid w:val="00983C9E"/>
    <w:rsid w:val="0099497C"/>
    <w:rsid w:val="00994BD9"/>
    <w:rsid w:val="009A11F0"/>
    <w:rsid w:val="009A2125"/>
    <w:rsid w:val="009C390A"/>
    <w:rsid w:val="00A20004"/>
    <w:rsid w:val="00A24C2A"/>
    <w:rsid w:val="00A40F39"/>
    <w:rsid w:val="00A426FD"/>
    <w:rsid w:val="00A67EA1"/>
    <w:rsid w:val="00A86E26"/>
    <w:rsid w:val="00AA1153"/>
    <w:rsid w:val="00AA42C8"/>
    <w:rsid w:val="00AD0955"/>
    <w:rsid w:val="00AD547D"/>
    <w:rsid w:val="00AD6227"/>
    <w:rsid w:val="00B51269"/>
    <w:rsid w:val="00B51FC6"/>
    <w:rsid w:val="00B627CF"/>
    <w:rsid w:val="00B94245"/>
    <w:rsid w:val="00B94E5B"/>
    <w:rsid w:val="00BC6CDD"/>
    <w:rsid w:val="00BD219B"/>
    <w:rsid w:val="00BE1EC9"/>
    <w:rsid w:val="00BF04ED"/>
    <w:rsid w:val="00BF56BD"/>
    <w:rsid w:val="00C00361"/>
    <w:rsid w:val="00C31FE3"/>
    <w:rsid w:val="00C5789B"/>
    <w:rsid w:val="00C65A0A"/>
    <w:rsid w:val="00C7334E"/>
    <w:rsid w:val="00C9115B"/>
    <w:rsid w:val="00CA4536"/>
    <w:rsid w:val="00CC6A55"/>
    <w:rsid w:val="00CE3245"/>
    <w:rsid w:val="00D11606"/>
    <w:rsid w:val="00D27214"/>
    <w:rsid w:val="00D34E2F"/>
    <w:rsid w:val="00D86B80"/>
    <w:rsid w:val="00D923B4"/>
    <w:rsid w:val="00D97898"/>
    <w:rsid w:val="00E473D6"/>
    <w:rsid w:val="00E7098F"/>
    <w:rsid w:val="00EB0F24"/>
    <w:rsid w:val="00EE4531"/>
    <w:rsid w:val="00F01914"/>
    <w:rsid w:val="00F21A4A"/>
    <w:rsid w:val="00F43A7A"/>
    <w:rsid w:val="00F5395E"/>
    <w:rsid w:val="00F53B8E"/>
    <w:rsid w:val="00F54DF9"/>
    <w:rsid w:val="00F5761F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1CBB-E2B2-48DE-8632-AE8E98C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3"/>
    <w:qFormat/>
    <w:rsid w:val="006728D3"/>
    <w:pPr>
      <w:widowControl w:val="0"/>
      <w:spacing w:after="60" w:line="240" w:lineRule="auto"/>
      <w:jc w:val="both"/>
    </w:pPr>
    <w:rPr>
      <w:rFonts w:ascii="Calibri" w:eastAsia="Calibri" w:hAnsi="Calibri" w:cs="Calibri"/>
      <w:spacing w:val="-2"/>
      <w:w w:val="90"/>
    </w:rPr>
  </w:style>
  <w:style w:type="paragraph" w:styleId="Cmsor1">
    <w:name w:val="heading 1"/>
    <w:basedOn w:val="Norml"/>
    <w:next w:val="Cmsor2"/>
    <w:link w:val="Cmsor1Char"/>
    <w:qFormat/>
    <w:rsid w:val="006728D3"/>
    <w:pPr>
      <w:keepNext/>
      <w:keepLines/>
      <w:widowControl/>
      <w:numPr>
        <w:numId w:val="3"/>
      </w:numPr>
      <w:suppressAutoHyphens/>
      <w:spacing w:after="240"/>
      <w:ind w:left="357" w:hanging="357"/>
      <w:jc w:val="left"/>
      <w:outlineLvl w:val="0"/>
    </w:pPr>
    <w:rPr>
      <w:rFonts w:eastAsia="Dotum"/>
      <w:bCs/>
      <w:caps/>
      <w:noProof/>
      <w:w w:val="80"/>
      <w:sz w:val="36"/>
      <w:szCs w:val="28"/>
      <w:lang w:eastAsia="hu-HU"/>
    </w:rPr>
  </w:style>
  <w:style w:type="paragraph" w:styleId="Cmsor2">
    <w:name w:val="heading 2"/>
    <w:basedOn w:val="Norml"/>
    <w:next w:val="Cmsor3"/>
    <w:link w:val="Cmsor2Char"/>
    <w:uiPriority w:val="1"/>
    <w:qFormat/>
    <w:rsid w:val="006728D3"/>
    <w:pPr>
      <w:keepNext/>
      <w:keepLines/>
      <w:widowControl/>
      <w:spacing w:before="240" w:after="120"/>
      <w:jc w:val="left"/>
      <w:outlineLvl w:val="1"/>
    </w:pPr>
    <w:rPr>
      <w:rFonts w:eastAsia="Times New Roman" w:cs="Adobe Arabic"/>
      <w:bCs/>
      <w:caps/>
      <w:w w:val="80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28D3"/>
    <w:rPr>
      <w:rFonts w:ascii="Calibri" w:eastAsia="Dotum" w:hAnsi="Calibri" w:cs="Calibri"/>
      <w:bCs/>
      <w:caps/>
      <w:noProof/>
      <w:spacing w:val="-2"/>
      <w:w w:val="80"/>
      <w:sz w:val="36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6728D3"/>
    <w:rPr>
      <w:rFonts w:ascii="Calibri" w:eastAsia="Times New Roman" w:hAnsi="Calibri" w:cs="Adobe Arabic"/>
      <w:bCs/>
      <w:caps/>
      <w:spacing w:val="-2"/>
      <w:w w:val="80"/>
      <w:sz w:val="32"/>
      <w:szCs w:val="26"/>
    </w:rPr>
  </w:style>
  <w:style w:type="paragraph" w:styleId="Listaszerbekezds">
    <w:name w:val="List Paragraph"/>
    <w:basedOn w:val="Norml"/>
    <w:uiPriority w:val="34"/>
    <w:qFormat/>
    <w:rsid w:val="006728D3"/>
    <w:pPr>
      <w:numPr>
        <w:numId w:val="1"/>
      </w:numPr>
      <w:tabs>
        <w:tab w:val="left" w:pos="284"/>
      </w:tabs>
    </w:p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6728D3"/>
    <w:pPr>
      <w:numPr>
        <w:ilvl w:val="1"/>
      </w:numPr>
      <w:tabs>
        <w:tab w:val="clear" w:pos="284"/>
        <w:tab w:val="left" w:pos="567"/>
      </w:tabs>
      <w:ind w:left="284" w:hanging="14"/>
    </w:pPr>
  </w:style>
  <w:style w:type="paragraph" w:customStyle="1" w:styleId="Kpfelirat">
    <w:name w:val="Képfelirat"/>
    <w:basedOn w:val="Norml"/>
    <w:next w:val="Norml"/>
    <w:uiPriority w:val="4"/>
    <w:qFormat/>
    <w:rsid w:val="006728D3"/>
    <w:pPr>
      <w:numPr>
        <w:ilvl w:val="1"/>
        <w:numId w:val="3"/>
      </w:numPr>
      <w:jc w:val="right"/>
    </w:pPr>
    <w:rPr>
      <w:i/>
      <w:sz w:val="20"/>
    </w:rPr>
  </w:style>
  <w:style w:type="paragraph" w:customStyle="1" w:styleId="Tablazatfelirat">
    <w:name w:val="Tablazat felirat"/>
    <w:basedOn w:val="Kpfelirat"/>
    <w:next w:val="Norml"/>
    <w:uiPriority w:val="4"/>
    <w:qFormat/>
    <w:rsid w:val="006728D3"/>
    <w:pPr>
      <w:numPr>
        <w:ilvl w:val="3"/>
      </w:numPr>
    </w:pPr>
  </w:style>
  <w:style w:type="paragraph" w:customStyle="1" w:styleId="tablazatszoveg">
    <w:name w:val="tablazat szoveg"/>
    <w:basedOn w:val="Norml"/>
    <w:uiPriority w:val="3"/>
    <w:qFormat/>
    <w:rsid w:val="006728D3"/>
    <w:pPr>
      <w:jc w:val="left"/>
    </w:pPr>
    <w:rPr>
      <w:sz w:val="20"/>
      <w:szCs w:val="20"/>
    </w:rPr>
  </w:style>
  <w:style w:type="paragraph" w:styleId="Szvegtrzs">
    <w:name w:val="Body Text"/>
    <w:basedOn w:val="Norml"/>
    <w:link w:val="SzvegtrzsChar"/>
    <w:unhideWhenUsed/>
    <w:rsid w:val="006728D3"/>
    <w:pPr>
      <w:widowControl/>
      <w:spacing w:after="200" w:line="276" w:lineRule="auto"/>
    </w:pPr>
    <w:rPr>
      <w:rFonts w:ascii="Arial Narrow" w:hAnsi="Arial Narrow" w:cs="Times New Roman"/>
      <w:spacing w:val="0"/>
      <w:w w:val="100"/>
    </w:rPr>
  </w:style>
  <w:style w:type="character" w:customStyle="1" w:styleId="SzvegtrzsChar">
    <w:name w:val="Szövegtörzs Char"/>
    <w:basedOn w:val="Bekezdsalapbettpusa"/>
    <w:link w:val="Szvegtrzs"/>
    <w:rsid w:val="006728D3"/>
    <w:rPr>
      <w:rFonts w:ascii="Arial Narrow" w:eastAsia="Calibri" w:hAnsi="Arial Narrow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28D3"/>
    <w:rPr>
      <w:rFonts w:asciiTheme="majorHAnsi" w:eastAsiaTheme="majorEastAsia" w:hAnsiTheme="majorHAnsi" w:cstheme="majorBidi"/>
      <w:b/>
      <w:bCs/>
      <w:color w:val="4F81BD" w:themeColor="accent1"/>
      <w:spacing w:val="-2"/>
      <w:w w:val="9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8D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8D3"/>
    <w:rPr>
      <w:rFonts w:ascii="Tahoma" w:eastAsia="Calibri" w:hAnsi="Tahoma" w:cs="Tahoma"/>
      <w:spacing w:val="-2"/>
      <w:w w:val="9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1502</Words>
  <Characters>10368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Lucza Alexandra</cp:lastModifiedBy>
  <cp:revision>129</cp:revision>
  <cp:lastPrinted>2017-02-06T12:13:00Z</cp:lastPrinted>
  <dcterms:created xsi:type="dcterms:W3CDTF">2017-01-31T10:32:00Z</dcterms:created>
  <dcterms:modified xsi:type="dcterms:W3CDTF">2018-02-08T15:10:00Z</dcterms:modified>
</cp:coreProperties>
</file>